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16E61" w14:textId="77777777" w:rsidR="00965F38" w:rsidRPr="003A7B46" w:rsidRDefault="003A7B46">
      <w:pPr>
        <w:rPr>
          <w:sz w:val="20"/>
          <w:szCs w:val="20"/>
          <w:lang w:val="en-US"/>
        </w:rPr>
      </w:pPr>
      <w:r w:rsidRPr="003A7B46">
        <w:rPr>
          <w:sz w:val="20"/>
          <w:szCs w:val="20"/>
          <w:lang w:val="en-US"/>
        </w:rPr>
        <w:t>Excerpts of Reviewed Literature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605"/>
        <w:gridCol w:w="7593"/>
      </w:tblGrid>
      <w:tr w:rsidR="003A7B46" w:rsidRPr="0058213F" w14:paraId="61B00E10" w14:textId="77777777" w:rsidTr="0058213F">
        <w:tc>
          <w:tcPr>
            <w:tcW w:w="988" w:type="dxa"/>
          </w:tcPr>
          <w:p w14:paraId="393434BD" w14:textId="77777777" w:rsidR="003A7B46" w:rsidRPr="0058213F" w:rsidRDefault="003A7B46">
            <w:pPr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2551" w:type="dxa"/>
          </w:tcPr>
          <w:p w14:paraId="22D804AA" w14:textId="77777777" w:rsidR="003A7B46" w:rsidRPr="0058213F" w:rsidRDefault="003A7B46" w:rsidP="003A7B46">
            <w:pPr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  <w:t xml:space="preserve">APA Style Reference </w:t>
            </w:r>
          </w:p>
        </w:tc>
        <w:tc>
          <w:tcPr>
            <w:tcW w:w="3605" w:type="dxa"/>
          </w:tcPr>
          <w:p w14:paraId="5437A49B" w14:textId="77777777" w:rsidR="003A7B46" w:rsidRPr="0058213F" w:rsidRDefault="003A7B46">
            <w:pPr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  <w:t>Method</w:t>
            </w:r>
          </w:p>
        </w:tc>
        <w:tc>
          <w:tcPr>
            <w:tcW w:w="7593" w:type="dxa"/>
          </w:tcPr>
          <w:p w14:paraId="75B2A6A5" w14:textId="77777777" w:rsidR="003A7B46" w:rsidRPr="0058213F" w:rsidRDefault="003A7B46">
            <w:pPr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  <w:t>Finding</w:t>
            </w:r>
            <w:r w:rsidR="00F01C79" w:rsidRPr="0058213F">
              <w:rPr>
                <w:rFonts w:ascii="Latha" w:hAnsi="Latha" w:cs="Latha"/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3A7B46" w:rsidRPr="0058213F" w14:paraId="6644FF9A" w14:textId="77777777" w:rsidTr="0058213F">
        <w:tc>
          <w:tcPr>
            <w:tcW w:w="988" w:type="dxa"/>
          </w:tcPr>
          <w:p w14:paraId="3A185B0C" w14:textId="77777777" w:rsidR="003A7B46" w:rsidRPr="0058213F" w:rsidRDefault="003A7B46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>260</w:t>
            </w:r>
          </w:p>
        </w:tc>
        <w:tc>
          <w:tcPr>
            <w:tcW w:w="2551" w:type="dxa"/>
          </w:tcPr>
          <w:p w14:paraId="5369B007" w14:textId="77777777" w:rsidR="003A7B46" w:rsidRPr="0058213F" w:rsidRDefault="00CE4E97" w:rsidP="004B7B60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sdt>
              <w:sdtPr>
                <w:rPr>
                  <w:rFonts w:ascii="Latha" w:hAnsi="Latha" w:cs="Latha"/>
                  <w:sz w:val="24"/>
                  <w:szCs w:val="24"/>
                  <w:lang w:val="en-US"/>
                </w:rPr>
                <w:id w:val="-988484881"/>
                <w:citation/>
              </w:sdtPr>
              <w:sdtEndPr/>
              <w:sdtContent>
                <w:r w:rsidR="004B7B60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begin"/>
                </w:r>
                <w:r w:rsidR="004B7B60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instrText xml:space="preserve">CITATION Kil16 \l 1033 </w:instrText>
                </w:r>
                <w:r w:rsidR="004B7B60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separate"/>
                </w:r>
                <w:r w:rsidR="004B7B60" w:rsidRPr="0058213F">
                  <w:rPr>
                    <w:rFonts w:ascii="Latha" w:hAnsi="Latha" w:cs="Latha"/>
                    <w:noProof/>
                    <w:sz w:val="24"/>
                    <w:szCs w:val="24"/>
                    <w:lang w:val="en-US"/>
                  </w:rPr>
                  <w:t>(Kilis, Gülbahar, &amp; Rapp, 2016)</w:t>
                </w:r>
                <w:r w:rsidR="004B7B60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3605" w:type="dxa"/>
          </w:tcPr>
          <w:p w14:paraId="1892E020" w14:textId="77777777" w:rsidR="003A7B46" w:rsidRPr="0058213F" w:rsidRDefault="003A7B46" w:rsidP="0058213F">
            <w:pPr>
              <w:jc w:val="both"/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Descriptive study covering 583 instructors from 39 countries focusing on the impact of a </w:t>
            </w:r>
            <w:r w:rsidR="00F01C79"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social media </w:t>
            </w: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tool kit on influencing their incorporation of social media </w:t>
            </w:r>
            <w:r w:rsidR="00F01C79"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in instruction through a 4-pronged query </w:t>
            </w:r>
          </w:p>
        </w:tc>
        <w:tc>
          <w:tcPr>
            <w:tcW w:w="7593" w:type="dxa"/>
          </w:tcPr>
          <w:p w14:paraId="55ACEE76" w14:textId="77777777" w:rsidR="003A7B46" w:rsidRPr="0058213F" w:rsidRDefault="00F01C79" w:rsidP="0058213F">
            <w:pPr>
              <w:jc w:val="both"/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>Even though teachers aspired to achieve learning outcomes of comprehension and application, their methods were still rooted in conventional techniques like text-book instruction, while modern innovations such as performance portfolios and group projects were occasionally employed.</w:t>
            </w:r>
          </w:p>
        </w:tc>
      </w:tr>
      <w:tr w:rsidR="003A7B46" w:rsidRPr="0058213F" w14:paraId="3124F9EA" w14:textId="77777777" w:rsidTr="0058213F">
        <w:tc>
          <w:tcPr>
            <w:tcW w:w="988" w:type="dxa"/>
          </w:tcPr>
          <w:p w14:paraId="000EB5E1" w14:textId="77777777" w:rsidR="003A7B46" w:rsidRPr="0058213F" w:rsidRDefault="004B7B60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>259</w:t>
            </w:r>
          </w:p>
        </w:tc>
        <w:tc>
          <w:tcPr>
            <w:tcW w:w="2551" w:type="dxa"/>
          </w:tcPr>
          <w:p w14:paraId="4F6420AD" w14:textId="77777777" w:rsidR="003A7B46" w:rsidRPr="0058213F" w:rsidRDefault="00CE4E97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sdt>
              <w:sdtPr>
                <w:rPr>
                  <w:rFonts w:ascii="Latha" w:hAnsi="Latha" w:cs="Latha"/>
                  <w:sz w:val="24"/>
                  <w:szCs w:val="24"/>
                  <w:lang w:val="en-US"/>
                </w:rPr>
                <w:id w:val="1856312676"/>
                <w:citation/>
              </w:sdtPr>
              <w:sdtEndPr/>
              <w:sdtContent>
                <w:r w:rsidR="004B7B60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begin"/>
                </w:r>
                <w:r w:rsidR="004B7B60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instrText xml:space="preserve"> CITATION You16 \l 1033 </w:instrText>
                </w:r>
                <w:r w:rsidR="004B7B60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separate"/>
                </w:r>
                <w:r w:rsidR="004B7B60" w:rsidRPr="0058213F">
                  <w:rPr>
                    <w:rFonts w:ascii="Latha" w:hAnsi="Latha" w:cs="Latha"/>
                    <w:noProof/>
                    <w:sz w:val="24"/>
                    <w:szCs w:val="24"/>
                    <w:lang w:val="en-US"/>
                  </w:rPr>
                  <w:t>(Youde, 2016)</w:t>
                </w:r>
                <w:r w:rsidR="004B7B60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3605" w:type="dxa"/>
          </w:tcPr>
          <w:p w14:paraId="4F465F92" w14:textId="77777777" w:rsidR="003A7B46" w:rsidRPr="0058213F" w:rsidRDefault="004B7B60" w:rsidP="006906C3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Mixed method approach for detailed exploration of emotional competences of 8 tutors teaching blended courses online </w:t>
            </w:r>
            <w:r w:rsidR="006906C3" w:rsidRPr="0058213F">
              <w:rPr>
                <w:rFonts w:ascii="Latha" w:hAnsi="Latha" w:cs="Latha"/>
                <w:sz w:val="24"/>
                <w:szCs w:val="24"/>
                <w:lang w:val="en-US"/>
              </w:rPr>
              <w:t>collecting interactive data about teachers’ practices through interviews, and feedback about student perceptions of teachers using questionnaires</w:t>
            </w:r>
          </w:p>
        </w:tc>
        <w:tc>
          <w:tcPr>
            <w:tcW w:w="7593" w:type="dxa"/>
          </w:tcPr>
          <w:p w14:paraId="59CD3988" w14:textId="59DA93AD" w:rsidR="003A7B46" w:rsidRPr="0058213F" w:rsidRDefault="006906C3" w:rsidP="0058213F">
            <w:pPr>
              <w:jc w:val="both"/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Findings provided insight into factors like emotional competence contributing to teacher effectiveness </w:t>
            </w:r>
            <w:r w:rsidR="005514C6"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in the process of online instruction. In the process they </w:t>
            </w:r>
            <w:r w:rsidR="00FB5D94" w:rsidRPr="0058213F">
              <w:rPr>
                <w:rFonts w:ascii="Latha" w:hAnsi="Latha" w:cs="Latha"/>
                <w:sz w:val="24"/>
                <w:szCs w:val="24"/>
                <w:lang w:val="en-US"/>
              </w:rPr>
              <w:t>endorse certain propositions of Goleman (2001</w:t>
            </w:r>
            <w:r w:rsidR="0058213F" w:rsidRPr="0058213F">
              <w:rPr>
                <w:rFonts w:ascii="Latha" w:hAnsi="Latha" w:cs="Latha"/>
                <w:sz w:val="24"/>
                <w:szCs w:val="24"/>
                <w:lang w:val="en-US"/>
              </w:rPr>
              <w:t>) about</w:t>
            </w:r>
            <w:r w:rsidR="00FB5D94"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 emotional intelligence while questioning certain others.</w:t>
            </w:r>
          </w:p>
        </w:tc>
      </w:tr>
      <w:tr w:rsidR="00CB244C" w:rsidRPr="0058213F" w14:paraId="1EE32E0B" w14:textId="77777777" w:rsidTr="0058213F">
        <w:tc>
          <w:tcPr>
            <w:tcW w:w="988" w:type="dxa"/>
          </w:tcPr>
          <w:p w14:paraId="729441DF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>258</w:t>
            </w:r>
          </w:p>
        </w:tc>
        <w:tc>
          <w:tcPr>
            <w:tcW w:w="2551" w:type="dxa"/>
          </w:tcPr>
          <w:p w14:paraId="3CB00D3C" w14:textId="77777777" w:rsidR="00CB244C" w:rsidRPr="0058213F" w:rsidRDefault="00CE4E97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sdt>
              <w:sdtPr>
                <w:rPr>
                  <w:rFonts w:ascii="Latha" w:hAnsi="Latha" w:cs="Latha"/>
                  <w:sz w:val="24"/>
                  <w:szCs w:val="24"/>
                  <w:lang w:val="en-US"/>
                </w:rPr>
                <w:id w:val="1889147573"/>
                <w:citation/>
              </w:sdtPr>
              <w:sdtEndPr/>
              <w:sdtContent>
                <w:r w:rsidR="00CB244C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begin"/>
                </w:r>
                <w:r w:rsidR="00CB244C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instrText xml:space="preserve"> CITATION Oza16 \l 1033 </w:instrText>
                </w:r>
                <w:r w:rsidR="00CB244C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separate"/>
                </w:r>
                <w:r w:rsidR="00CB244C" w:rsidRPr="0058213F">
                  <w:rPr>
                    <w:rFonts w:ascii="Latha" w:hAnsi="Latha" w:cs="Latha"/>
                    <w:noProof/>
                    <w:sz w:val="24"/>
                    <w:szCs w:val="24"/>
                    <w:lang w:val="en-US"/>
                  </w:rPr>
                  <w:t>(Ozarslan &amp; Ozan, 2016)</w:t>
                </w:r>
                <w:r w:rsidR="00CB244C" w:rsidRPr="0058213F"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3605" w:type="dxa"/>
          </w:tcPr>
          <w:p w14:paraId="48F88F23" w14:textId="653DB228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677 students pursuing online course were covered in a survey through </w:t>
            </w:r>
            <w:r w:rsidR="0058213F" w:rsidRPr="0058213F">
              <w:rPr>
                <w:rFonts w:ascii="Latha" w:hAnsi="Latha" w:cs="Latha"/>
                <w:sz w:val="24"/>
                <w:szCs w:val="24"/>
                <w:lang w:val="en-US"/>
              </w:rPr>
              <w:t>6092 self</w:t>
            </w: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-assessment tests along with antecedent details of learner profile and consequent details of their final exam performances </w:t>
            </w:r>
          </w:p>
        </w:tc>
        <w:tc>
          <w:tcPr>
            <w:tcW w:w="7593" w:type="dxa"/>
          </w:tcPr>
          <w:p w14:paraId="0298117A" w14:textId="316031BC" w:rsidR="00CB244C" w:rsidRPr="0058213F" w:rsidRDefault="00CB244C" w:rsidP="00EC2E30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r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Findings </w:t>
            </w:r>
            <w:r w:rsidR="00EC2E30" w:rsidRPr="0058213F">
              <w:rPr>
                <w:rFonts w:ascii="Latha" w:hAnsi="Latha" w:cs="Latha"/>
                <w:sz w:val="24"/>
                <w:szCs w:val="24"/>
                <w:lang w:val="en-US"/>
              </w:rPr>
              <w:t>confirmed that student maturity as required for regular participation in self-assessment exercise</w:t>
            </w:r>
            <w:r w:rsidR="00F46832"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 </w:t>
            </w:r>
            <w:r w:rsidR="00EC2E30" w:rsidRPr="0058213F">
              <w:rPr>
                <w:rFonts w:ascii="Latha" w:hAnsi="Latha" w:cs="Latha"/>
                <w:sz w:val="24"/>
                <w:szCs w:val="24"/>
                <w:lang w:val="en-US"/>
              </w:rPr>
              <w:t xml:space="preserve">as significant factor that positively influenced their exam performances </w:t>
            </w:r>
            <w:r w:rsidR="00F46832" w:rsidRPr="0058213F">
              <w:rPr>
                <w:rFonts w:ascii="Latha" w:hAnsi="Latha" w:cs="Latha"/>
                <w:sz w:val="24"/>
                <w:szCs w:val="24"/>
                <w:lang w:val="en-US"/>
              </w:rPr>
              <w:t>and also reflected in their perceived satisfaction about the course</w:t>
            </w:r>
            <w:r w:rsidR="0058213F">
              <w:rPr>
                <w:rFonts w:ascii="Latha" w:hAnsi="Latha" w:cs="Latha"/>
                <w:sz w:val="24"/>
                <w:szCs w:val="24"/>
                <w:lang w:val="en-US"/>
              </w:rPr>
              <w:t>.</w:t>
            </w:r>
          </w:p>
        </w:tc>
      </w:tr>
      <w:tr w:rsidR="00CB244C" w:rsidRPr="0058213F" w14:paraId="0EC10392" w14:textId="77777777" w:rsidTr="0058213F">
        <w:tc>
          <w:tcPr>
            <w:tcW w:w="988" w:type="dxa"/>
          </w:tcPr>
          <w:p w14:paraId="0C6A22BC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5EC33C65" w14:textId="4767181E" w:rsidR="00CB244C" w:rsidRPr="0058213F" w:rsidRDefault="00251626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sdt>
              <w:sdtPr>
                <w:rPr>
                  <w:rFonts w:ascii="Latha" w:hAnsi="Latha" w:cs="Latha"/>
                  <w:sz w:val="24"/>
                  <w:szCs w:val="24"/>
                  <w:lang w:val="en-US"/>
                </w:rPr>
                <w:id w:val="-1069335657"/>
                <w:citation/>
              </w:sdtPr>
              <w:sdtContent>
                <w:r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begin"/>
                </w:r>
                <w:r>
                  <w:rPr>
                    <w:rFonts w:ascii="Latha" w:hAnsi="Latha" w:cs="Latha"/>
                    <w:sz w:val="24"/>
                    <w:szCs w:val="24"/>
                  </w:rPr>
                  <w:instrText xml:space="preserve"> CITATION Alm15 \l 16393 </w:instrText>
                </w:r>
                <w:r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separate"/>
                </w:r>
                <w:r w:rsidRPr="00251626">
                  <w:rPr>
                    <w:rFonts w:ascii="Latha" w:hAnsi="Latha" w:cs="Latha"/>
                    <w:noProof/>
                    <w:sz w:val="24"/>
                    <w:szCs w:val="24"/>
                  </w:rPr>
                  <w:t>(Almansuri &amp; Elmansuri, 2015)</w:t>
                </w:r>
                <w:r>
                  <w:rPr>
                    <w:rFonts w:ascii="Latha" w:hAnsi="Latha" w:cs="Latha"/>
                    <w:sz w:val="24"/>
                    <w:szCs w:val="24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3605" w:type="dxa"/>
          </w:tcPr>
          <w:p w14:paraId="02F0CE14" w14:textId="7070B116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7593" w:type="dxa"/>
          </w:tcPr>
          <w:p w14:paraId="6B1E9181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</w:tr>
      <w:tr w:rsidR="00CB244C" w:rsidRPr="0058213F" w14:paraId="16FCDB28" w14:textId="77777777" w:rsidTr="0058213F">
        <w:tc>
          <w:tcPr>
            <w:tcW w:w="988" w:type="dxa"/>
          </w:tcPr>
          <w:p w14:paraId="1DB2AC44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A877754" w14:textId="7F1233D0" w:rsidR="00CB244C" w:rsidRPr="0058213F" w:rsidRDefault="00853482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Kenan et al., (2011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16310552"/>
                <w:citation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CITATION ThK11 \l 16393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 xml:space="preserve"> </w:t>
                </w:r>
                <w:r w:rsidRPr="00853482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(Th., C., &amp; ., 2011)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605" w:type="dxa"/>
          </w:tcPr>
          <w:p w14:paraId="69F9CE6B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7593" w:type="dxa"/>
          </w:tcPr>
          <w:p w14:paraId="231ECAF7" w14:textId="55F1EC18" w:rsidR="00853482" w:rsidRDefault="00F97A01" w:rsidP="0085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4561569"/>
            <w:bookmarkStart w:id="1" w:name="_Hlk6456185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Stressed the need for enhancing the student computer skills, and capacity building for instructors  </w:t>
            </w:r>
            <w:r w:rsidR="00853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before implementing e-learning courses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482">
              <w:rPr>
                <w:rFonts w:ascii="Times New Roman" w:hAnsi="Times New Roman" w:cs="Times New Roman"/>
                <w:sz w:val="20"/>
                <w:szCs w:val="20"/>
              </w:rPr>
              <w:t>provided a set of</w:t>
            </w:r>
          </w:p>
          <w:p w14:paraId="6F5D2F15" w14:textId="77777777" w:rsidR="00853482" w:rsidRDefault="00853482" w:rsidP="0085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recommendations for students and instructors to improve e-learning in Libyan HE institutions as follows:</w:t>
            </w:r>
          </w:p>
          <w:p w14:paraId="64E43229" w14:textId="77777777" w:rsidR="00853482" w:rsidRDefault="00853482" w:rsidP="0085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lastRenderedPageBreak/>
              <w:t xml:space="preserve">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Improve students’ computer skills before enrolling E-learning course;</w:t>
            </w:r>
          </w:p>
          <w:p w14:paraId="75DB6A42" w14:textId="77777777" w:rsidR="00CB244C" w:rsidRDefault="00853482" w:rsidP="0085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attitudes towards e-learning should be taken into consideration.</w:t>
            </w:r>
          </w:p>
          <w:p w14:paraId="0A65AEE0" w14:textId="77777777" w:rsidR="00853482" w:rsidRDefault="00853482" w:rsidP="00853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authors provided recommendations for institutions as follows:</w:t>
            </w:r>
          </w:p>
          <w:p w14:paraId="5904C323" w14:textId="0CAC1E4D" w:rsidR="00853482" w:rsidRPr="0058213F" w:rsidRDefault="00853482" w:rsidP="00853482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Instructors should be offered adequate training and course developers to be updated on changes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software and hardware. </w:t>
            </w:r>
          </w:p>
          <w:bookmarkEnd w:id="0"/>
          <w:p w14:paraId="2F70D735" w14:textId="2EA40139" w:rsidR="00853482" w:rsidRPr="0058213F" w:rsidRDefault="00853482" w:rsidP="00853482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</w:tr>
      <w:tr w:rsidR="00CB244C" w:rsidRPr="0058213F" w14:paraId="7EBADAC5" w14:textId="77777777" w:rsidTr="0058213F">
        <w:tc>
          <w:tcPr>
            <w:tcW w:w="988" w:type="dxa"/>
          </w:tcPr>
          <w:p w14:paraId="7D704B45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580489AE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4122BC8A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7593" w:type="dxa"/>
          </w:tcPr>
          <w:p w14:paraId="6CA7DC49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</w:tr>
      <w:tr w:rsidR="00CB244C" w:rsidRPr="0058213F" w14:paraId="18BA845B" w14:textId="77777777" w:rsidTr="0058213F">
        <w:tc>
          <w:tcPr>
            <w:tcW w:w="988" w:type="dxa"/>
          </w:tcPr>
          <w:p w14:paraId="6167BA51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3638DEA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14:paraId="7D4837B3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  <w:tc>
          <w:tcPr>
            <w:tcW w:w="7593" w:type="dxa"/>
          </w:tcPr>
          <w:p w14:paraId="568DCB3B" w14:textId="77777777" w:rsidR="00CB244C" w:rsidRPr="0058213F" w:rsidRDefault="00CB244C" w:rsidP="00CB244C">
            <w:pPr>
              <w:rPr>
                <w:rFonts w:ascii="Latha" w:hAnsi="Latha" w:cs="Latha"/>
                <w:sz w:val="24"/>
                <w:szCs w:val="24"/>
                <w:lang w:val="en-US"/>
              </w:rPr>
            </w:pPr>
          </w:p>
        </w:tc>
      </w:tr>
    </w:tbl>
    <w:p w14:paraId="46745C71" w14:textId="77777777" w:rsidR="004B7B60" w:rsidRDefault="004B7B60">
      <w:pPr>
        <w:rPr>
          <w:sz w:val="20"/>
          <w:szCs w:val="20"/>
          <w:lang w:val="en-US"/>
        </w:rPr>
      </w:pPr>
    </w:p>
    <w:p w14:paraId="790B3C88" w14:textId="77777777" w:rsidR="004B7B60" w:rsidRDefault="004B7B6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3F1E134F" w14:textId="77777777" w:rsidR="004B7B60" w:rsidRDefault="004B7B60" w:rsidP="004B7B60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REFERENCES</w:t>
      </w:r>
    </w:p>
    <w:p w14:paraId="7FD798BC" w14:textId="77777777" w:rsidR="003A1FBC" w:rsidRDefault="004B7B60" w:rsidP="003A1FBC">
      <w:pPr>
        <w:pStyle w:val="Bibliography"/>
        <w:ind w:left="720" w:hanging="720"/>
        <w:rPr>
          <w:noProof/>
          <w:sz w:val="24"/>
          <w:szCs w:val="24"/>
          <w:lang w:val="en-US"/>
        </w:rPr>
      </w:pPr>
      <w:r>
        <w:rPr>
          <w:sz w:val="20"/>
          <w:szCs w:val="20"/>
          <w:lang w:val="en-US"/>
        </w:rPr>
        <w:fldChar w:fldCharType="begin"/>
      </w:r>
      <w:r>
        <w:rPr>
          <w:sz w:val="20"/>
          <w:szCs w:val="20"/>
          <w:lang w:val="en-US"/>
        </w:rPr>
        <w:instrText xml:space="preserve"> BIBLIOGRAPHY  \l 1033 </w:instrText>
      </w:r>
      <w:r>
        <w:rPr>
          <w:sz w:val="20"/>
          <w:szCs w:val="20"/>
          <w:lang w:val="en-US"/>
        </w:rPr>
        <w:fldChar w:fldCharType="separate"/>
      </w:r>
      <w:r w:rsidR="003A1FBC">
        <w:rPr>
          <w:noProof/>
          <w:lang w:val="en-US"/>
        </w:rPr>
        <w:t xml:space="preserve">Kilis, S., Gülbahar, Y., &amp; Rapp, C. (2016). Exploration of teaching preferences of instructor's use of social media. </w:t>
      </w:r>
      <w:r w:rsidR="003A1FBC">
        <w:rPr>
          <w:i/>
          <w:iCs/>
          <w:noProof/>
          <w:lang w:val="en-US"/>
        </w:rPr>
        <w:t>European Journal of Open, Distance and E-Learning, 19(11)</w:t>
      </w:r>
      <w:r w:rsidR="003A1FBC">
        <w:rPr>
          <w:noProof/>
          <w:lang w:val="en-US"/>
        </w:rPr>
        <w:t>, 1-18.</w:t>
      </w:r>
    </w:p>
    <w:p w14:paraId="0D0B58BD" w14:textId="77777777" w:rsidR="003A1FBC" w:rsidRDefault="003A1FBC" w:rsidP="003A1FBC">
      <w:pPr>
        <w:pStyle w:val="Bibliography"/>
        <w:ind w:left="720" w:hanging="720"/>
        <w:rPr>
          <w:noProof/>
          <w:lang w:val="en-US"/>
        </w:rPr>
      </w:pPr>
      <w:r>
        <w:rPr>
          <w:noProof/>
          <w:lang w:val="en-US"/>
        </w:rPr>
        <w:t xml:space="preserve">Ozarslan, Y., &amp; Ozan, O. (2016). Self assessment quiz taking behaviour analysis in an online course. </w:t>
      </w:r>
      <w:r>
        <w:rPr>
          <w:i/>
          <w:iCs/>
          <w:noProof/>
          <w:lang w:val="en-US"/>
        </w:rPr>
        <w:t>European Journal of Open, Distance and E-Learning, 19(2)</w:t>
      </w:r>
      <w:r>
        <w:rPr>
          <w:noProof/>
          <w:lang w:val="en-US"/>
        </w:rPr>
        <w:t>, 15-31.</w:t>
      </w:r>
    </w:p>
    <w:p w14:paraId="075808A1" w14:textId="785AADE4" w:rsidR="003A1FBC" w:rsidRDefault="003A1FBC" w:rsidP="003A1FBC">
      <w:pPr>
        <w:pStyle w:val="Bibliography"/>
        <w:ind w:left="720" w:hanging="720"/>
        <w:rPr>
          <w:noProof/>
          <w:lang w:val="en-US"/>
        </w:rPr>
      </w:pPr>
      <w:r>
        <w:rPr>
          <w:noProof/>
          <w:lang w:val="en-US"/>
        </w:rPr>
        <w:t xml:space="preserve">Youde, A. (2016). Tutor emotional competences valued by learners in blended learning context. </w:t>
      </w:r>
      <w:r>
        <w:rPr>
          <w:i/>
          <w:iCs/>
          <w:noProof/>
          <w:lang w:val="en-US"/>
        </w:rPr>
        <w:t>European Journal of Open, Distance and E-Learning, 1992)</w:t>
      </w:r>
      <w:r>
        <w:rPr>
          <w:noProof/>
          <w:lang w:val="en-US"/>
        </w:rPr>
        <w:t>, 81-97.</w:t>
      </w:r>
    </w:p>
    <w:p w14:paraId="49CE036E" w14:textId="77777777" w:rsidR="00853482" w:rsidRPr="00853482" w:rsidRDefault="00853482" w:rsidP="00853482">
      <w:pPr>
        <w:rPr>
          <w:lang w:val="en-US"/>
        </w:rPr>
      </w:pPr>
    </w:p>
    <w:p w14:paraId="6177244F" w14:textId="741B0F08" w:rsidR="00853482" w:rsidRDefault="004B7B60" w:rsidP="0085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  <w:lang w:val="en-US"/>
        </w:rPr>
        <w:fldChar w:fldCharType="end"/>
      </w:r>
      <w:r w:rsidR="00853482" w:rsidRPr="00853482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64561885"/>
      <w:r w:rsidR="00853482">
        <w:rPr>
          <w:rFonts w:ascii="Times New Roman" w:hAnsi="Times New Roman" w:cs="Times New Roman"/>
          <w:sz w:val="18"/>
          <w:szCs w:val="18"/>
        </w:rPr>
        <w:t xml:space="preserve">Kenan </w:t>
      </w:r>
      <w:bookmarkEnd w:id="2"/>
      <w:r w:rsidR="00853482">
        <w:rPr>
          <w:rFonts w:ascii="Times New Roman" w:hAnsi="Times New Roman" w:cs="Times New Roman"/>
          <w:sz w:val="18"/>
          <w:szCs w:val="18"/>
        </w:rPr>
        <w:t xml:space="preserve">Th., </w:t>
      </w:r>
      <w:proofErr w:type="spellStart"/>
      <w:r w:rsidR="00853482">
        <w:rPr>
          <w:rFonts w:ascii="Times New Roman" w:hAnsi="Times New Roman" w:cs="Times New Roman"/>
          <w:sz w:val="18"/>
          <w:szCs w:val="18"/>
        </w:rPr>
        <w:t>Pislaru</w:t>
      </w:r>
      <w:proofErr w:type="spellEnd"/>
      <w:r w:rsidR="00853482">
        <w:rPr>
          <w:rFonts w:ascii="Times New Roman" w:hAnsi="Times New Roman" w:cs="Times New Roman"/>
          <w:sz w:val="18"/>
          <w:szCs w:val="18"/>
        </w:rPr>
        <w:t xml:space="preserve"> C. And Bennett </w:t>
      </w:r>
      <w:proofErr w:type="gramStart"/>
      <w:r w:rsidR="00853482">
        <w:rPr>
          <w:rFonts w:ascii="Times New Roman" w:hAnsi="Times New Roman" w:cs="Times New Roman"/>
          <w:sz w:val="18"/>
          <w:szCs w:val="18"/>
        </w:rPr>
        <w:t>L .</w:t>
      </w:r>
      <w:proofErr w:type="gramEnd"/>
      <w:r w:rsidR="00853482">
        <w:rPr>
          <w:rFonts w:ascii="Times New Roman" w:hAnsi="Times New Roman" w:cs="Times New Roman"/>
          <w:sz w:val="18"/>
          <w:szCs w:val="18"/>
        </w:rPr>
        <w:t xml:space="preserve"> 2011, Investigation of e-learning implementation in HE institutions in Libya</w:t>
      </w:r>
    </w:p>
    <w:p w14:paraId="32B8CF1B" w14:textId="77777777" w:rsidR="00853482" w:rsidRDefault="00853482" w:rsidP="0085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Student, Poster, Dept of Engineering and Technology, School of Computing and Engineering, available online</w:t>
      </w:r>
    </w:p>
    <w:p w14:paraId="76EE0191" w14:textId="77777777" w:rsidR="00853482" w:rsidRDefault="00853482" w:rsidP="0085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i/>
          <w:iCs/>
          <w:sz w:val="18"/>
          <w:szCs w:val="18"/>
        </w:rPr>
        <w:t>http://www.hud.ac.uk/media/universityofhuddersfield/content/documents/computingandengineering/events/researche</w:t>
      </w:r>
    </w:p>
    <w:p w14:paraId="574FC448" w14:textId="1950E09D" w:rsidR="003A7B46" w:rsidRDefault="00853482" w:rsidP="00853482">
      <w:pPr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rsconference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/posters/kenan.pdf]</w:t>
      </w:r>
    </w:p>
    <w:p w14:paraId="4EC5B0D7" w14:textId="111DFEBA" w:rsidR="001F5BD5" w:rsidRDefault="001F5BD5" w:rsidP="00853482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5AE03D11" w14:textId="77777777" w:rsidR="001F5BD5" w:rsidRDefault="001F5BD5" w:rsidP="001F5BD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Moore, J. L., Dickson-Deane, C., &amp; </w:t>
      </w:r>
      <w:proofErr w:type="spellStart"/>
      <w:r>
        <w:rPr>
          <w:rFonts w:ascii="Cambria" w:hAnsi="Cambria" w:cs="Cambria"/>
          <w:sz w:val="24"/>
          <w:szCs w:val="24"/>
        </w:rPr>
        <w:t>Gaylen</w:t>
      </w:r>
      <w:proofErr w:type="spellEnd"/>
      <w:r>
        <w:rPr>
          <w:rFonts w:ascii="Cambria" w:hAnsi="Cambria" w:cs="Cambria"/>
          <w:sz w:val="24"/>
          <w:szCs w:val="24"/>
        </w:rPr>
        <w:t>, K. (2011). E-Learning, online learning, and distance</w:t>
      </w:r>
    </w:p>
    <w:p w14:paraId="6793A93D" w14:textId="77777777" w:rsidR="001F5BD5" w:rsidRDefault="001F5BD5" w:rsidP="001F5BD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learning environments: Are they the same? </w:t>
      </w:r>
      <w:r>
        <w:rPr>
          <w:rFonts w:ascii="Cambria-Italic" w:hAnsi="Cambria-Italic" w:cs="Cambria-Italic"/>
          <w:i/>
          <w:iCs/>
          <w:sz w:val="24"/>
          <w:szCs w:val="24"/>
        </w:rPr>
        <w:t>Internet and Higher Education, 14</w:t>
      </w:r>
      <w:r>
        <w:rPr>
          <w:rFonts w:ascii="Cambria" w:hAnsi="Cambria" w:cs="Cambria"/>
          <w:sz w:val="24"/>
          <w:szCs w:val="24"/>
        </w:rPr>
        <w:t>, 129-135.</w:t>
      </w:r>
    </w:p>
    <w:p w14:paraId="46C1D826" w14:textId="258690C0" w:rsidR="001F5BD5" w:rsidRDefault="001F5BD5" w:rsidP="001F5BD5">
      <w:pPr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doi:10.1016/j.iheduc</w:t>
      </w:r>
      <w:proofErr w:type="gramEnd"/>
      <w:r>
        <w:rPr>
          <w:rFonts w:ascii="Cambria" w:hAnsi="Cambria" w:cs="Cambria"/>
          <w:sz w:val="24"/>
          <w:szCs w:val="24"/>
        </w:rPr>
        <w:t>.2010.10.001</w:t>
      </w:r>
    </w:p>
    <w:p w14:paraId="366BCDA6" w14:textId="77777777" w:rsidR="001F5BD5" w:rsidRPr="003A7B46" w:rsidRDefault="001F5BD5" w:rsidP="001F5BD5">
      <w:pPr>
        <w:rPr>
          <w:sz w:val="20"/>
          <w:szCs w:val="20"/>
          <w:lang w:val="en-US"/>
        </w:rPr>
      </w:pPr>
    </w:p>
    <w:sectPr w:rsidR="001F5BD5" w:rsidRPr="003A7B46" w:rsidSect="005821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wtDQ1szQ2MDA1NLRQ0lEKTi0uzszPAykwrAUApyHsECwAAAA="/>
  </w:docVars>
  <w:rsids>
    <w:rsidRoot w:val="00C701B1"/>
    <w:rsid w:val="001F5BD5"/>
    <w:rsid w:val="00251626"/>
    <w:rsid w:val="003A1FBC"/>
    <w:rsid w:val="003A7B46"/>
    <w:rsid w:val="004B7B60"/>
    <w:rsid w:val="005514C6"/>
    <w:rsid w:val="0058213F"/>
    <w:rsid w:val="006906C3"/>
    <w:rsid w:val="00853482"/>
    <w:rsid w:val="00965F38"/>
    <w:rsid w:val="00C701B1"/>
    <w:rsid w:val="00CA7A29"/>
    <w:rsid w:val="00CB244C"/>
    <w:rsid w:val="00CE4E97"/>
    <w:rsid w:val="00E519CF"/>
    <w:rsid w:val="00EC2E30"/>
    <w:rsid w:val="00F01C79"/>
    <w:rsid w:val="00F46832"/>
    <w:rsid w:val="00F97A01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66AC"/>
  <w15:chartTrackingRefBased/>
  <w15:docId w15:val="{036CB55E-8858-492E-9193-0EA76CF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4B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Kil16</b:Tag>
    <b:SourceType>JournalArticle</b:SourceType>
    <b:Guid>{609DE817-1D65-4AFA-9EDE-2A369DA036A4}</b:Guid>
    <b:Author>
      <b:Author>
        <b:NameList>
          <b:Person>
            <b:Last>Kilis</b:Last>
            <b:First>Selcan</b:First>
          </b:Person>
          <b:Person>
            <b:Last>Gülbahar</b:Last>
            <b:First>Yasemin</b:First>
          </b:Person>
          <b:Person>
            <b:Last>Rapp</b:Last>
            <b:First>Christian</b:First>
          </b:Person>
        </b:NameList>
      </b:Author>
    </b:Author>
    <b:Title>Exploration of teaching preferences of instructor's use of social media</b:Title>
    <b:JournalName>European Journal of Open, Distance and E-Learning, 19(11)</b:JournalName>
    <b:Year>2016</b:Year>
    <b:Pages>1-18</b:Pages>
    <b:RefOrder>1</b:RefOrder>
  </b:Source>
  <b:Source>
    <b:Tag>You16</b:Tag>
    <b:SourceType>JournalArticle</b:SourceType>
    <b:Guid>{67A3D602-8297-45CC-9CB7-BE8858893A81}</b:Guid>
    <b:Author>
      <b:Author>
        <b:NameList>
          <b:Person>
            <b:Last>Youde</b:Last>
            <b:First>Andrew</b:First>
          </b:Person>
        </b:NameList>
      </b:Author>
    </b:Author>
    <b:Title>Tutor emotional competences valued by learners in blended learning context</b:Title>
    <b:JournalName>European Journal of Open, Distance and E-Learning, 1992)</b:JournalName>
    <b:Year>2016</b:Year>
    <b:Pages>81-97</b:Pages>
    <b:RefOrder>2</b:RefOrder>
  </b:Source>
  <b:Source>
    <b:Tag>Oza16</b:Tag>
    <b:SourceType>JournalArticle</b:SourceType>
    <b:Guid>{110FEB49-08C4-4340-B08B-0D20C545F0A6}</b:Guid>
    <b:Author>
      <b:Author>
        <b:NameList>
          <b:Person>
            <b:Last>Ozarslan</b:Last>
            <b:First>Yasin</b:First>
          </b:Person>
          <b:Person>
            <b:Last>Ozan</b:Last>
            <b:First>Ozlem</b:First>
          </b:Person>
        </b:NameList>
      </b:Author>
    </b:Author>
    <b:Title>Self assessment quiz taking behaviour analysis in an online course</b:Title>
    <b:JournalName>European Journal of Open, Distance and E-Learning, 19(2)</b:JournalName>
    <b:Year>2016</b:Year>
    <b:Pages>15-31</b:Pages>
    <b:RefOrder>3</b:RefOrder>
  </b:Source>
  <b:Source>
    <b:Tag>Alm15</b:Tag>
    <b:SourceType>Book</b:SourceType>
    <b:Guid>{0524FC54-9AE9-4322-81E0-D7682B81E054}</b:Guid>
    <b:Author>
      <b:Author>
        <b:NameList>
          <b:Person>
            <b:Last>Almansuri</b:Last>
            <b:First>Aisha</b:First>
            <b:Middle>A.</b:Middle>
          </b:Person>
          <b:Person>
            <b:Last>Elmansuri</b:Last>
            <b:First>Rowad</b:First>
            <b:Middle>A.</b:Middle>
          </b:Person>
        </b:NameList>
      </b:Author>
    </b:Author>
    <b:Title>UTILIZING E-LEARNING SYSTEMS IN THE LIBYAN</b:Title>
    <b:Year>2015</b:Year>
    <b:Publisher>International Conference e-Learning</b:Publisher>
    <b:RefOrder>4</b:RefOrder>
  </b:Source>
  <b:Source xmlns:b="http://schemas.openxmlformats.org/officeDocument/2006/bibliography" xmlns="http://schemas.openxmlformats.org/officeDocument/2006/bibliography">
    <b:Tag>Placeholder1</b:Tag>
    <b:RefOrder>6</b:RefOrder>
  </b:Source>
  <b:Source>
    <b:Tag>ThK11</b:Tag>
    <b:SourceType>ConferenceProceedings</b:SourceType>
    <b:Guid>{639CAA15-DDBD-434D-B6F4-B3B7AFAFEE6F}</b:Guid>
    <b:Author>
      <b:Author>
        <b:NameList>
          <b:Person>
            <b:Last>Th.</b:Last>
            <b:First>Kenan</b:First>
          </b:Person>
          <b:Person>
            <b:Last>C.</b:Last>
            <b:First>Pislaru</b:First>
          </b:Person>
          <b:Person>
            <b:Last>.</b:Last>
            <b:First>Bennett</b:First>
            <b:Middle>L</b:Middle>
          </b:Person>
        </b:NameList>
      </b:Author>
    </b:Author>
    <b:Title>Investigation of e-learning implementation in HE institutions in Libya</b:Title>
    <b:Year>2011</b:Year>
    <b:RefOrder>5</b:RefOrder>
  </b:Source>
</b:Sources>
</file>

<file path=customXml/itemProps1.xml><?xml version="1.0" encoding="utf-8"?>
<ds:datastoreItem xmlns:ds="http://schemas.openxmlformats.org/officeDocument/2006/customXml" ds:itemID="{CD6BA5D2-43F1-47D1-B924-A4F9EE8E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LIC-44</dc:creator>
  <cp:keywords/>
  <dc:description/>
  <cp:lastModifiedBy>Shijith Kumar</cp:lastModifiedBy>
  <cp:revision>8</cp:revision>
  <dcterms:created xsi:type="dcterms:W3CDTF">2021-01-01T11:45:00Z</dcterms:created>
  <dcterms:modified xsi:type="dcterms:W3CDTF">2021-02-19T18:55:00Z</dcterms:modified>
</cp:coreProperties>
</file>