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E9" w:rsidRPr="001B0AE9" w:rsidRDefault="001B0AE9" w:rsidP="001B0AE9">
      <w:pPr>
        <w:spacing w:after="200" w:line="276" w:lineRule="auto"/>
        <w:ind w:right="540"/>
        <w:jc w:val="center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REPORT OF PROJECT PILOT STUDY IN SPECIAL EDUCATION ACADEMIC PROGRAMME</w:t>
      </w:r>
    </w:p>
    <w:p w:rsidR="001B0AE9" w:rsidRPr="001B0AE9" w:rsidRDefault="001B0AE9" w:rsidP="001B0AE9">
      <w:pPr>
        <w:spacing w:after="200" w:line="276" w:lineRule="auto"/>
        <w:ind w:right="540"/>
        <w:jc w:val="center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Introduction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Tertiary education after secondary schooling and intermediate transition is a higher realm of education that expects learners to not just to accrue knowledge, acquire skills or absorb values, but enter into a self-stimulated and motivated, progressive process of learning to learn, and appropriating the learning for useful purposes. And e-learning (OECD, 2005; Keller, &amp;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Cernerud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, 2002) endeavours to use information and communication technology to broaden the scope and advance the range of purpose in higher education. Moodle is </w:t>
      </w:r>
      <w:proofErr w:type="spellStart"/>
      <w:proofErr w:type="gramStart"/>
      <w:r w:rsidRPr="001B0AE9">
        <w:rPr>
          <w:rFonts w:ascii="Cambria" w:eastAsia="Times New Roman" w:hAnsi="Cambria" w:cs="Calibri"/>
          <w:color w:val="202124"/>
          <w:lang w:val="en-GB" w:eastAsia="en-IN"/>
        </w:rPr>
        <w:t>a</w:t>
      </w:r>
      <w:proofErr w:type="spellEnd"/>
      <w:proofErr w:type="gram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all-inclusive open source learning management system that provides a versatile platform for enrolling, instructing, evaluating learners, as well as in accumulating and analysing data related to the learning process (Costello, 2013; Jordan, 2013). With AIISH, a pioneering and proactive institute in the field of communication disorders adopts several e-learning ventures to enhance the quality and quantity of human resources generated. In this context, it became essential to explore and evolve the probabilities and prospects involved in adopting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moodle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as means of blended learning in the human resource programmes at AIISH.  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2.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As a preliminary measure of the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ARF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project to development a custom-made e-learning platform for use in the human resource development programmes at the institute, a pilot study on trial basis was undertaken. This trial effort focused on two major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HRD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disciplines at the institute–speech and hearing, and special education, and at two key levels of higher education– under graduate and post-graduate.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3.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This report concerns the trial instruction over Moodle platform carried out in the discipline of special education for the hard-core theory course on ‘Introduction of Cerebral Palsy, Locomotor and Multiple Disabilities’ imparted in the first semester of the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B.Ed.Spl.Ed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. (HI) programme. 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Objectives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Carry out a trial instruction with Moodle, in order to –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i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Identify viable means for effective transaction knowledge to students.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Ascertain objective, ail-safe methods for carrying out evaluation.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Discern channels for extended learning activities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Recognise technical hitches and procedural snags in using Moodle for instruction and trouble-shooting possibilities.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Devise a an workable prototype for </w:t>
      </w:r>
      <w:proofErr w:type="gramStart"/>
      <w:r w:rsidRPr="001B0AE9">
        <w:rPr>
          <w:rFonts w:ascii="Cambria" w:eastAsia="Times New Roman" w:hAnsi="Cambria" w:cs="Calibri"/>
          <w:color w:val="202124"/>
          <w:lang w:val="en-GB" w:eastAsia="en-IN"/>
        </w:rPr>
        <w:t>blended(</w:t>
      </w:r>
      <w:proofErr w:type="gramEnd"/>
      <w:r w:rsidRPr="001B0AE9">
        <w:rPr>
          <w:rFonts w:ascii="Cambria" w:eastAsia="Times New Roman" w:hAnsi="Cambria" w:cs="Calibri"/>
          <w:color w:val="202124"/>
          <w:lang w:val="en-GB" w:eastAsia="en-IN"/>
        </w:rPr>
        <w:t>synchronous and asynchronous) instruction.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III.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Participants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lastRenderedPageBreak/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Participants were selected through purposive sampling to include 13 students of first-year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B.Ed.Spl.Ed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 (HI) students in the first semester of the programme.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2.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All student-participants including 11 females and 2 males were young adults in the age range of 20 to 35 years.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3.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All 13 came with a minimum prior qualification of graduation, and six of them graduated in science subjects while seven in humanities. 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IV.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Tools and Materials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Three major means were employed for data collection 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i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Pre and post intervention of performance scores of the students in the form of component one and component two marks of the credit-based system.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Proforma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for collecting student feedback on the Moodle experience of learning, which in turn involved –</w:t>
      </w:r>
    </w:p>
    <w:p w:rsidR="001B0AE9" w:rsidRPr="001B0AE9" w:rsidRDefault="001B0AE9" w:rsidP="001B0AE9">
      <w:pPr>
        <w:spacing w:after="0" w:line="276" w:lineRule="auto"/>
        <w:ind w:left="168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a.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A 20-item questionnaire drawing information –</w:t>
      </w:r>
    </w:p>
    <w:p w:rsidR="001B0AE9" w:rsidRPr="001B0AE9" w:rsidRDefault="001B0AE9" w:rsidP="001B0AE9">
      <w:pPr>
        <w:spacing w:after="0" w:line="276" w:lineRule="auto"/>
        <w:ind w:left="204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Tahoma" w:eastAsia="Times New Roman" w:hAnsi="Tahoma" w:cs="Tahoma"/>
          <w:color w:val="202124"/>
          <w:lang w:val="en-GB" w:eastAsia="en-IN"/>
        </w:rPr>
        <w:t>-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About the facilitation of effective instructional transaction and augmentation (5 items), active student-engagement (2 items), efficient evaluation (2 items), extended learning resources (3 items), learning networks (2 items), student convenience (4 items), as well as prerequisites to employ Moodle (2 items).</w:t>
      </w:r>
    </w:p>
    <w:p w:rsidR="001B0AE9" w:rsidRPr="001B0AE9" w:rsidRDefault="001B0AE9" w:rsidP="001B0AE9">
      <w:pPr>
        <w:spacing w:after="0" w:line="276" w:lineRule="auto"/>
        <w:ind w:left="204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Tahoma" w:eastAsia="Times New Roman" w:hAnsi="Tahoma" w:cs="Tahoma"/>
          <w:color w:val="202124"/>
          <w:lang w:val="en-GB" w:eastAsia="en-IN"/>
        </w:rPr>
        <w:t>-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Through items drew binary responses of ‘yes’ or ‘no’. </w:t>
      </w:r>
    </w:p>
    <w:p w:rsidR="001B0AE9" w:rsidRPr="001B0AE9" w:rsidRDefault="001B0AE9" w:rsidP="001B0AE9">
      <w:pPr>
        <w:spacing w:after="0" w:line="276" w:lineRule="auto"/>
        <w:ind w:left="204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Tahoma" w:eastAsia="Times New Roman" w:hAnsi="Tahoma" w:cs="Tahoma"/>
          <w:color w:val="202124"/>
          <w:lang w:val="en-GB" w:eastAsia="en-IN"/>
        </w:rPr>
        <w:t>-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In case of 12 statements related to the positive attributes of Moodle the ‘yes’ responses were awarded a score of ‘1’ while the ‘no’ responses were awarded a score of ‘0’. Whereas in eight other statements dealing with the adverse outcomes of the experience the scoring was vice-versa.</w:t>
      </w:r>
    </w:p>
    <w:p w:rsidR="001B0AE9" w:rsidRPr="001B0AE9" w:rsidRDefault="001B0AE9" w:rsidP="001B0AE9">
      <w:pPr>
        <w:spacing w:after="0" w:line="276" w:lineRule="auto"/>
        <w:ind w:left="168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b.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The second part of the questionnaire comprised of three open-ended queries to draw qualitative feedback from the participants – on the merits, demerits and recommendations for further improvements.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2.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Instructional materials prepared for blended instruction in the course of investigation included –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i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The first unit of lesson presented through Moodle was in the form of illustrated web-page content with annexed assessment, </w:t>
      </w:r>
      <w:bookmarkStart w:id="0" w:name="m_-6977995834599433983__GoBack"/>
      <w:bookmarkEnd w:id="0"/>
      <w:r w:rsidRPr="001B0AE9">
        <w:rPr>
          <w:rFonts w:ascii="Cambria" w:eastAsia="Times New Roman" w:hAnsi="Cambria" w:cs="Calibri"/>
          <w:color w:val="202124"/>
          <w:lang w:val="en-GB" w:eastAsia="en-IN"/>
        </w:rPr>
        <w:t>hyperlink to further learning resources and ongoing, objective assessment as well as descriptive assignments for embedding the learning.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The second unit of presentation took form of a slide show, again accompanied with assessment, resource and extended assignments.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These materials were intended to provide supplementary learning exposure besides conventional classroom teaching. 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Research Design and Process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A simple pre and post-test experimental research design had been adopted for the investigation.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lastRenderedPageBreak/>
        <w:t>i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A pure or true experimental design with a control group had not been attempted as the experiment involved real time instruction. Because denying the control group of students from a constructive learning experience through Moodle platform may not be ethically reasonable. 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Instead a factorial design where the exposed to conventional learning in the first part of the semester in component-one and then with the assistance of Moodle learning management system in the second part of component-two with comparable instructional content and learning tasks.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The effect of the independent variable of Moodle learning experience on the dependent outcomes of learning performance and student disposition were investigated by comparing the learning outcomes in the component-one and two.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2.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The pilot study undertook the following course: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i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Choice of the special educational theory course for experimentation.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Preparation of learning content.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Laying out the scheme and schedule and ongoing evaluation of learning outcomes.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iv.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Drafting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proforma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for recording learning outcomes as well as student feedback.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v.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Implementation two units of the course in the first-half of the semester for eight weeks in the conventional mode without Moodle interface.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vi.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Consequent execution further two units in the second-half of the semester for another eight weeks with the assistance of Moodle interface.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vii.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Compilation and analysis of data to decide influence on teacher-student dispositions and learning outcomes.</w:t>
      </w: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0" w:line="276" w:lineRule="auto"/>
        <w:ind w:left="132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VI.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Data Analysis and Results</w:t>
      </w:r>
    </w:p>
    <w:p w:rsidR="00307B23" w:rsidRPr="001B0AE9" w:rsidRDefault="001B0AE9" w:rsidP="00307B23">
      <w:pPr>
        <w:spacing w:after="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1.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 </w:t>
      </w:r>
      <w:bookmarkStart w:id="1" w:name="_GoBack"/>
      <w:bookmarkEnd w:id="1"/>
    </w:p>
    <w:p w:rsidR="001B0AE9" w:rsidRPr="001B0AE9" w:rsidRDefault="001B0AE9" w:rsidP="001B0AE9">
      <w:pPr>
        <w:spacing w:after="200" w:line="276" w:lineRule="auto"/>
        <w:ind w:left="1680" w:right="540"/>
        <w:rPr>
          <w:rFonts w:ascii="Calibri" w:eastAsia="Times New Roman" w:hAnsi="Calibri" w:cs="Calibri"/>
          <w:color w:val="202124"/>
          <w:lang w:eastAsia="en-IN"/>
        </w:rPr>
      </w:pPr>
    </w:p>
    <w:p w:rsidR="001B0AE9" w:rsidRPr="001B0AE9" w:rsidRDefault="001B0AE9" w:rsidP="001B0AE9">
      <w:pPr>
        <w:spacing w:after="200" w:line="276" w:lineRule="auto"/>
        <w:ind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> </w:t>
      </w:r>
    </w:p>
    <w:p w:rsidR="001B0AE9" w:rsidRPr="001B0AE9" w:rsidRDefault="001B0AE9" w:rsidP="001B0AE9">
      <w:pPr>
        <w:spacing w:after="200" w:line="276" w:lineRule="auto"/>
        <w:ind w:left="60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VII.</w:t>
      </w:r>
      <w:r w:rsidRPr="001B0AE9">
        <w:rPr>
          <w:rFonts w:ascii="Times New Roman" w:eastAsia="Times New Roman" w:hAnsi="Times New Roman" w:cs="Times New Roman"/>
          <w:color w:val="202124"/>
          <w:sz w:val="14"/>
          <w:szCs w:val="14"/>
          <w:lang w:val="en-GB" w:eastAsia="en-IN"/>
        </w:rPr>
        <w:t xml:space="preserve">            </w:t>
      </w:r>
      <w:r w:rsidRPr="001B0AE9">
        <w:rPr>
          <w:rFonts w:ascii="Cambria" w:eastAsia="Times New Roman" w:hAnsi="Cambria" w:cs="Calibri"/>
          <w:b/>
          <w:bCs/>
          <w:color w:val="202124"/>
          <w:lang w:val="en-GB" w:eastAsia="en-IN"/>
        </w:rPr>
        <w:t>References:</w:t>
      </w:r>
    </w:p>
    <w:p w:rsidR="001B0AE9" w:rsidRPr="001B0AE9" w:rsidRDefault="001B0AE9" w:rsidP="001B0AE9">
      <w:pPr>
        <w:spacing w:after="20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OECD (2005).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E-learning in tertiary education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. Available at </w:t>
      </w:r>
      <w:hyperlink r:id="rId5" w:tgtFrame="_blank" w:history="1">
        <w:r w:rsidRPr="001B0AE9">
          <w:rPr>
            <w:rFonts w:ascii="Cambria" w:eastAsia="Times New Roman" w:hAnsi="Cambria" w:cs="Calibri"/>
            <w:color w:val="0000FF"/>
            <w:u w:val="single"/>
            <w:lang w:val="en-GB" w:eastAsia="en-IN"/>
          </w:rPr>
          <w:t>http://</w:t>
        </w:r>
        <w:proofErr w:type="spellStart"/>
        <w:r w:rsidRPr="001B0AE9">
          <w:rPr>
            <w:rFonts w:ascii="Cambria" w:eastAsia="Times New Roman" w:hAnsi="Cambria" w:cs="Calibri"/>
            <w:color w:val="0000FF"/>
            <w:u w:val="single"/>
            <w:lang w:val="en-GB" w:eastAsia="en-IN"/>
          </w:rPr>
          <w:t>www.cumex.org</w:t>
        </w:r>
        <w:proofErr w:type="spellEnd"/>
      </w:hyperlink>
      <w:r w:rsidRPr="001B0AE9">
        <w:rPr>
          <w:rFonts w:ascii="Cambria" w:eastAsia="Times New Roman" w:hAnsi="Cambria" w:cs="Calibri"/>
          <w:color w:val="202124"/>
          <w:lang w:val="en-GB" w:eastAsia="en-IN"/>
        </w:rPr>
        <w:t>. (Accessed 27 /02/ 2014).</w:t>
      </w:r>
    </w:p>
    <w:p w:rsidR="001B0AE9" w:rsidRPr="001B0AE9" w:rsidRDefault="001B0AE9" w:rsidP="001B0AE9">
      <w:pPr>
        <w:spacing w:after="20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Keller, C. &amp;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Cernerud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, L. (2002). Students’ perception of e-learning in university education.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Learning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,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Media and Technology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, 27(1), 55-67.</w:t>
      </w:r>
    </w:p>
    <w:p w:rsidR="001B0AE9" w:rsidRPr="001B0AE9" w:rsidRDefault="001B0AE9" w:rsidP="001B0AE9">
      <w:pPr>
        <w:spacing w:after="200" w:line="276" w:lineRule="auto"/>
        <w:ind w:left="960" w:right="540"/>
        <w:rPr>
          <w:rFonts w:ascii="Calibri" w:eastAsia="Times New Roman" w:hAnsi="Calibri" w:cs="Calibri"/>
          <w:color w:val="202124"/>
          <w:lang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Jordan, S. (2013). E-assessment: Past, present and future.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New Directions,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9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(1), 87–106.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doi:10.11120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/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ndir.2013.00009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.</w:t>
      </w:r>
    </w:p>
    <w:p w:rsidR="000A132E" w:rsidRDefault="001B0AE9" w:rsidP="001B0AE9">
      <w:pPr>
        <w:spacing w:after="200" w:line="276" w:lineRule="auto"/>
        <w:ind w:left="960" w:right="540"/>
        <w:rPr>
          <w:rFonts w:ascii="Cambria" w:eastAsia="Times New Roman" w:hAnsi="Cambria" w:cs="Calibri"/>
          <w:color w:val="202124"/>
          <w:lang w:val="en-GB" w:eastAsia="en-IN"/>
        </w:rPr>
      </w:pP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Costello, E. (2013). Opening up to open source: Looking at how Moodle was adopted in higher education.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 xml:space="preserve">Open 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>Learning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: The Journal of Open, Distance and E-Learning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, </w:t>
      </w:r>
      <w:r w:rsidRPr="001B0AE9">
        <w:rPr>
          <w:rFonts w:ascii="Cambria" w:eastAsia="Times New Roman" w:hAnsi="Cambria" w:cs="Calibri"/>
          <w:i/>
          <w:iCs/>
          <w:color w:val="202124"/>
          <w:lang w:val="en-GB" w:eastAsia="en-IN"/>
        </w:rPr>
        <w:t>28</w:t>
      </w:r>
      <w:r w:rsidRPr="001B0AE9">
        <w:rPr>
          <w:rFonts w:ascii="Cambria" w:eastAsia="Times New Roman" w:hAnsi="Cambria" w:cs="Calibri"/>
          <w:color w:val="202124"/>
          <w:lang w:val="en-GB" w:eastAsia="en-IN"/>
        </w:rPr>
        <w:t xml:space="preserve">(3), 187–200. </w:t>
      </w:r>
      <w:proofErr w:type="spellStart"/>
      <w:r w:rsidRPr="001B0AE9">
        <w:rPr>
          <w:rFonts w:ascii="Cambria" w:eastAsia="Times New Roman" w:hAnsi="Cambria" w:cs="Calibri"/>
          <w:color w:val="202124"/>
          <w:lang w:val="en-GB" w:eastAsia="en-IN"/>
        </w:rPr>
        <w:t>doi:10.1080</w:t>
      </w:r>
      <w:proofErr w:type="spellEnd"/>
      <w:r w:rsidRPr="001B0AE9">
        <w:rPr>
          <w:rFonts w:ascii="Cambria" w:eastAsia="Times New Roman" w:hAnsi="Cambria" w:cs="Calibri"/>
          <w:color w:val="202124"/>
          <w:lang w:val="en-GB" w:eastAsia="en-IN"/>
        </w:rPr>
        <w:t>/02680513.2013.856289.</w:t>
      </w:r>
    </w:p>
    <w:p w:rsidR="001B0AE9" w:rsidRDefault="001B0AE9" w:rsidP="001B0AE9">
      <w:pPr>
        <w:spacing w:after="200" w:line="276" w:lineRule="auto"/>
        <w:ind w:right="540"/>
        <w:rPr>
          <w:rFonts w:ascii="Cambria" w:eastAsia="Times New Roman" w:hAnsi="Cambria" w:cs="Calibri"/>
          <w:color w:val="202124"/>
          <w:lang w:val="en-GB" w:eastAsia="en-IN"/>
        </w:rPr>
      </w:pPr>
    </w:p>
    <w:p w:rsidR="001B0AE9" w:rsidRPr="00F61B3D" w:rsidRDefault="001B0AE9" w:rsidP="00F61B3D">
      <w:pPr>
        <w:rPr>
          <w:rFonts w:ascii="Cambria" w:eastAsia="Times New Roman" w:hAnsi="Cambria" w:cs="Calibri"/>
          <w:color w:val="202124"/>
          <w:lang w:val="en-GB" w:eastAsia="en-IN"/>
        </w:rPr>
      </w:pPr>
    </w:p>
    <w:sectPr w:rsidR="001B0AE9" w:rsidRPr="00F61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B6"/>
    <w:rsid w:val="000A132E"/>
    <w:rsid w:val="001B0AE9"/>
    <w:rsid w:val="00307B23"/>
    <w:rsid w:val="005D09B6"/>
    <w:rsid w:val="008C6B43"/>
    <w:rsid w:val="00C10D57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A8A7"/>
  <w15:chartTrackingRefBased/>
  <w15:docId w15:val="{1D1B9FEE-CA0C-4FC5-A61B-1DB5E46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5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10D5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10D5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D5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5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33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257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9710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7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6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0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76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26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9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434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805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72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946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0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89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130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66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2765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8625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2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me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LIC-44</dc:creator>
  <cp:keywords/>
  <dc:description/>
  <cp:lastModifiedBy>LIC-44</cp:lastModifiedBy>
  <cp:revision>3</cp:revision>
  <dcterms:created xsi:type="dcterms:W3CDTF">2021-02-09T09:45:00Z</dcterms:created>
  <dcterms:modified xsi:type="dcterms:W3CDTF">2021-02-09T11:41:00Z</dcterms:modified>
</cp:coreProperties>
</file>