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F33A" w14:textId="2B64EE18" w:rsidR="008A238F" w:rsidRPr="008A238F" w:rsidRDefault="008A238F" w:rsidP="008A23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8A238F">
        <w:rPr>
          <w:rFonts w:ascii="TimesNewRomanPSMT" w:hAnsi="TimesNewRomanPSMT" w:cs="TimesNewRomanPSMT"/>
          <w:b/>
          <w:bCs/>
          <w:sz w:val="20"/>
          <w:szCs w:val="20"/>
        </w:rPr>
        <w:t>Definition of e-learning</w:t>
      </w:r>
    </w:p>
    <w:p w14:paraId="41A0521D" w14:textId="11461C5E" w:rsidR="008A238F" w:rsidRDefault="008A238F" w:rsidP="008A23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There are various definitions of an e-learning system. </w:t>
      </w:r>
    </w:p>
    <w:p w14:paraId="109DD020" w14:textId="77777777" w:rsidR="008A238F" w:rsidRDefault="008A238F" w:rsidP="008A23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CDF3724" w14:textId="3E7B05E4" w:rsidR="008A238F" w:rsidRDefault="008A238F" w:rsidP="008A23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 e-learning system is a form of online learning that</w:t>
      </w:r>
    </w:p>
    <w:p w14:paraId="785E14C8" w14:textId="67AAC97A" w:rsidR="00277AED" w:rsidRDefault="008A238F" w:rsidP="008A238F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occurs in a formal context with the use of multimedia technologies (Anderson, 2016).</w:t>
      </w:r>
    </w:p>
    <w:p w14:paraId="7A66B19D" w14:textId="77777777" w:rsidR="009338B1" w:rsidRDefault="009338B1" w:rsidP="00933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According to this</w:t>
      </w:r>
    </w:p>
    <w:p w14:paraId="50B8C673" w14:textId="77777777" w:rsidR="009338B1" w:rsidRDefault="009338B1" w:rsidP="00933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definition, e-learning is supported by hardware and software for effective provision of quality education either</w:t>
      </w:r>
    </w:p>
    <w:p w14:paraId="5BA211B4" w14:textId="77777777" w:rsidR="009338B1" w:rsidRDefault="009338B1" w:rsidP="00933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online or offline. E-learning is also defined as a computer-enhanced learning system which is delivered through</w:t>
      </w:r>
    </w:p>
    <w:p w14:paraId="1E004A14" w14:textId="294CCD60" w:rsidR="008A238F" w:rsidRDefault="009338B1" w:rsidP="009338B1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personal computers (Chan &amp; Ranjit, 2005).</w:t>
      </w:r>
    </w:p>
    <w:p w14:paraId="713546EB" w14:textId="77777777" w:rsidR="009338B1" w:rsidRPr="009338B1" w:rsidRDefault="009338B1" w:rsidP="009338B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  <w:r w:rsidRPr="009338B1">
        <w:rPr>
          <w:rFonts w:ascii="TimesNewRomanPSMT" w:hAnsi="TimesNewRomanPSMT" w:cs="TimesNewRomanPSMT"/>
          <w:color w:val="FF0000"/>
          <w:sz w:val="20"/>
          <w:szCs w:val="20"/>
        </w:rPr>
        <w:t xml:space="preserve">Anderson, T. (2016). Theories for learning with emerging technologies. </w:t>
      </w:r>
      <w:r w:rsidRPr="009338B1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Emerging Technologies in Distance</w:t>
      </w:r>
    </w:p>
    <w:p w14:paraId="026FA3E3" w14:textId="10FA5C20" w:rsidR="009338B1" w:rsidRPr="009338B1" w:rsidRDefault="009338B1" w:rsidP="009338B1">
      <w:pPr>
        <w:rPr>
          <w:rFonts w:ascii="TimesNewRomanPSMT" w:hAnsi="TimesNewRomanPSMT" w:cs="TimesNewRomanPSMT"/>
          <w:color w:val="FF0000"/>
          <w:sz w:val="20"/>
          <w:szCs w:val="20"/>
        </w:rPr>
      </w:pPr>
      <w:r w:rsidRPr="009338B1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Education</w:t>
      </w:r>
      <w:r w:rsidRPr="009338B1">
        <w:rPr>
          <w:rFonts w:ascii="TimesNewRomanPSMT" w:hAnsi="TimesNewRomanPSMT" w:cs="TimesNewRomanPSMT"/>
          <w:color w:val="FF0000"/>
          <w:sz w:val="20"/>
          <w:szCs w:val="20"/>
        </w:rPr>
        <w:t>.</w:t>
      </w:r>
    </w:p>
    <w:p w14:paraId="4D38ED2C" w14:textId="77777777" w:rsidR="009338B1" w:rsidRPr="009338B1" w:rsidRDefault="009338B1" w:rsidP="00933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9338B1">
        <w:rPr>
          <w:rFonts w:ascii="TimesNewRomanPSMT" w:hAnsi="TimesNewRomanPSMT" w:cs="TimesNewRomanPSMT"/>
          <w:color w:val="FF0000"/>
          <w:sz w:val="20"/>
          <w:szCs w:val="20"/>
        </w:rPr>
        <w:t xml:space="preserve">Chan, Y., Ranjit, K., Jamiah, B., &amp; Eliza, P. (2007). </w:t>
      </w:r>
      <w:r w:rsidRPr="009338B1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Computer Education for Classroom Teaching</w:t>
      </w:r>
      <w:r w:rsidRPr="009338B1">
        <w:rPr>
          <w:rFonts w:ascii="TimesNewRomanPSMT" w:hAnsi="TimesNewRomanPSMT" w:cs="TimesNewRomanPSMT"/>
          <w:color w:val="FF0000"/>
          <w:sz w:val="20"/>
          <w:szCs w:val="20"/>
        </w:rPr>
        <w:t>. Malaysia:</w:t>
      </w:r>
    </w:p>
    <w:p w14:paraId="6FAD009A" w14:textId="50B6066D" w:rsidR="009338B1" w:rsidRDefault="009338B1" w:rsidP="009338B1">
      <w:pPr>
        <w:rPr>
          <w:rFonts w:ascii="TimesNewRomanPSMT" w:hAnsi="TimesNewRomanPSMT" w:cs="TimesNewRomanPSMT"/>
          <w:color w:val="FF0000"/>
          <w:sz w:val="20"/>
          <w:szCs w:val="20"/>
        </w:rPr>
      </w:pPr>
      <w:r w:rsidRPr="009338B1">
        <w:rPr>
          <w:rFonts w:ascii="TimesNewRomanPSMT" w:hAnsi="TimesNewRomanPSMT" w:cs="TimesNewRomanPSMT"/>
          <w:color w:val="FF0000"/>
          <w:sz w:val="20"/>
          <w:szCs w:val="20"/>
        </w:rPr>
        <w:t>McGraw-Hill.</w:t>
      </w:r>
    </w:p>
    <w:p w14:paraId="3D0B0356" w14:textId="77777777" w:rsidR="00D06AC5" w:rsidRDefault="00D06AC5" w:rsidP="009338B1">
      <w:pPr>
        <w:rPr>
          <w:rFonts w:ascii="Book Antiqua" w:hAnsi="Book Antiqua"/>
          <w:sz w:val="24"/>
          <w:szCs w:val="24"/>
        </w:rPr>
      </w:pPr>
      <w:r w:rsidRPr="00D61DE0">
        <w:rPr>
          <w:rFonts w:ascii="Book Antiqua" w:hAnsi="Book Antiqua"/>
          <w:sz w:val="24"/>
          <w:szCs w:val="24"/>
        </w:rPr>
        <w:t>The European eLearning action plan also defines eLearning</w:t>
      </w:r>
      <w:r>
        <w:rPr>
          <w:rFonts w:ascii="Book Antiqua" w:hAnsi="Book Antiqua"/>
          <w:sz w:val="24"/>
          <w:szCs w:val="24"/>
        </w:rPr>
        <w:t xml:space="preserve">, </w:t>
      </w:r>
      <w:r w:rsidRPr="00D61DE0">
        <w:rPr>
          <w:rFonts w:ascii="Book Antiqua" w:hAnsi="Book Antiqua"/>
          <w:sz w:val="24"/>
          <w:szCs w:val="24"/>
        </w:rPr>
        <w:t>the use of new multimedia technologies and internet to improve the quality of learning by facilitating access to resources as well as remote exchanges and collaboration</w:t>
      </w:r>
    </w:p>
    <w:p w14:paraId="7221617B" w14:textId="14C7E500" w:rsidR="009338B1" w:rsidRDefault="00D06AC5" w:rsidP="009338B1">
      <w:pPr>
        <w:rPr>
          <w:color w:val="FF0000"/>
        </w:rPr>
      </w:pPr>
      <w:proofErr w:type="gramStart"/>
      <w:r w:rsidRPr="00D06AC5">
        <w:rPr>
          <w:color w:val="FF0000"/>
        </w:rPr>
        <w:t>COM(</w:t>
      </w:r>
      <w:proofErr w:type="gramEnd"/>
      <w:r w:rsidRPr="00D06AC5">
        <w:rPr>
          <w:color w:val="FF0000"/>
        </w:rPr>
        <w:t>2000) 318 final, 24.05.2000 (</w:t>
      </w:r>
      <w:hyperlink r:id="rId4" w:history="1">
        <w:r w:rsidRPr="00463755">
          <w:rPr>
            <w:rStyle w:val="Hyperlink"/>
          </w:rPr>
          <w:t>http://www.europa.eu.int/comm/elearning</w:t>
        </w:r>
      </w:hyperlink>
      <w:r w:rsidRPr="00D06AC5">
        <w:rPr>
          <w:color w:val="FF0000"/>
        </w:rPr>
        <w:t>)</w:t>
      </w:r>
    </w:p>
    <w:p w14:paraId="0F62B1AD" w14:textId="77777777" w:rsidR="00D06AC5" w:rsidRPr="00D06AC5" w:rsidRDefault="00D06AC5" w:rsidP="009338B1">
      <w:pPr>
        <w:rPr>
          <w:color w:val="FF0000"/>
        </w:rPr>
      </w:pPr>
    </w:p>
    <w:sectPr w:rsidR="00D06AC5" w:rsidRPr="00D06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DI2MTMwsTA2M7FQ0lEKTi0uzszPAykwqgUA+ZuEbCwAAAA="/>
  </w:docVars>
  <w:rsids>
    <w:rsidRoot w:val="008A238F"/>
    <w:rsid w:val="00277AED"/>
    <w:rsid w:val="008A238F"/>
    <w:rsid w:val="009338B1"/>
    <w:rsid w:val="00D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94A2"/>
  <w15:chartTrackingRefBased/>
  <w15:docId w15:val="{21893274-926B-4443-879D-6E7CE48E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.eu.int/comm/e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2021-05-12T14:12:00Z</dcterms:created>
  <dcterms:modified xsi:type="dcterms:W3CDTF">2021-05-13T07:14:00Z</dcterms:modified>
</cp:coreProperties>
</file>