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064B" w14:textId="77777777" w:rsidR="00EA2F7C" w:rsidRDefault="00EA2F7C" w:rsidP="00EA2F7C">
      <w:pPr>
        <w:pStyle w:val="NormalWeb"/>
        <w:ind w:left="567" w:hanging="567"/>
        <w:jc w:val="both"/>
      </w:pPr>
    </w:p>
    <w:p w14:paraId="415D440A" w14:textId="77777777" w:rsidR="00EA2F7C" w:rsidRDefault="00EA2F7C" w:rsidP="00EA2F7C">
      <w:pPr>
        <w:pStyle w:val="NormalWeb"/>
        <w:ind w:left="567" w:hanging="567"/>
        <w:jc w:val="both"/>
      </w:pPr>
    </w:p>
    <w:p w14:paraId="3208077B" w14:textId="77777777" w:rsidR="00EA2F7C" w:rsidRDefault="00EA2F7C" w:rsidP="00EA2F7C">
      <w:pPr>
        <w:pStyle w:val="NormalWeb"/>
        <w:ind w:left="567" w:hanging="567"/>
        <w:jc w:val="both"/>
      </w:pPr>
    </w:p>
    <w:p w14:paraId="7913B6F9" w14:textId="77777777" w:rsidR="00EA2F7C" w:rsidRDefault="00EA2F7C" w:rsidP="00EA2F7C">
      <w:pPr>
        <w:pStyle w:val="NormalWeb"/>
        <w:ind w:left="567" w:hanging="567"/>
        <w:jc w:val="both"/>
      </w:pPr>
    </w:p>
    <w:p w14:paraId="045F5EA1" w14:textId="77777777" w:rsidR="00EA2F7C" w:rsidRDefault="00EA2F7C" w:rsidP="00EA2F7C">
      <w:pPr>
        <w:pStyle w:val="NormalWeb"/>
        <w:ind w:left="567" w:hanging="567"/>
        <w:jc w:val="both"/>
      </w:pPr>
    </w:p>
    <w:p w14:paraId="59BDF6D1" w14:textId="77777777" w:rsidR="00EA2F7C" w:rsidRDefault="00EA2F7C" w:rsidP="00EA2F7C">
      <w:pPr>
        <w:pStyle w:val="NormalWeb"/>
        <w:ind w:left="567" w:hanging="567"/>
        <w:jc w:val="both"/>
      </w:pPr>
    </w:p>
    <w:p w14:paraId="67B28FD5" w14:textId="77777777" w:rsidR="00EA2F7C" w:rsidRDefault="00EA2F7C" w:rsidP="00EA2F7C">
      <w:pPr>
        <w:pStyle w:val="NormalWeb"/>
        <w:ind w:left="567" w:hanging="567"/>
        <w:jc w:val="both"/>
      </w:pPr>
    </w:p>
    <w:p w14:paraId="4844CB66" w14:textId="77777777" w:rsidR="00EA2F7C" w:rsidRDefault="00EA2F7C" w:rsidP="00EA2F7C">
      <w:pPr>
        <w:pStyle w:val="NormalWeb"/>
        <w:ind w:left="567" w:hanging="567"/>
        <w:jc w:val="both"/>
      </w:pPr>
    </w:p>
    <w:p w14:paraId="123BECE9" w14:textId="77777777" w:rsidR="00EA2F7C" w:rsidRDefault="00EA2F7C" w:rsidP="00EA2F7C">
      <w:pPr>
        <w:pStyle w:val="NormalWeb"/>
        <w:ind w:left="567" w:hanging="567"/>
        <w:jc w:val="both"/>
      </w:pPr>
    </w:p>
    <w:p w14:paraId="1FFC6CDB" w14:textId="77777777" w:rsidR="00EA2F7C" w:rsidRDefault="00EA2F7C" w:rsidP="00EA2F7C">
      <w:pPr>
        <w:pStyle w:val="NormalWeb"/>
        <w:ind w:left="567" w:hanging="567"/>
        <w:jc w:val="both"/>
      </w:pPr>
    </w:p>
    <w:p w14:paraId="31E8C89A" w14:textId="77777777" w:rsidR="00EA2F7C" w:rsidRDefault="00EA2F7C" w:rsidP="00EA2F7C">
      <w:pPr>
        <w:pStyle w:val="NormalWeb"/>
        <w:ind w:left="567" w:hanging="567"/>
        <w:jc w:val="both"/>
      </w:pPr>
    </w:p>
    <w:p w14:paraId="4A649AE1" w14:textId="77777777" w:rsidR="00EA2F7C" w:rsidRDefault="00EA2F7C" w:rsidP="00EA2F7C">
      <w:pPr>
        <w:pStyle w:val="NormalWeb"/>
        <w:ind w:left="567" w:hanging="567"/>
        <w:jc w:val="both"/>
      </w:pPr>
    </w:p>
    <w:p w14:paraId="109688E7" w14:textId="77777777" w:rsidR="00EA2F7C" w:rsidRDefault="00EA2F7C" w:rsidP="00EA2F7C">
      <w:pPr>
        <w:pStyle w:val="NormalWeb"/>
        <w:ind w:left="567" w:hanging="567"/>
        <w:jc w:val="both"/>
      </w:pPr>
    </w:p>
    <w:p w14:paraId="7A0EAD41" w14:textId="77777777" w:rsidR="00EA2F7C" w:rsidRDefault="00EA2F7C" w:rsidP="00EA2F7C">
      <w:pPr>
        <w:pStyle w:val="NormalWeb"/>
        <w:ind w:left="567" w:hanging="567"/>
        <w:jc w:val="both"/>
      </w:pPr>
    </w:p>
    <w:p w14:paraId="20197E51" w14:textId="77777777" w:rsidR="00EA2F7C" w:rsidRPr="001E621F" w:rsidRDefault="00EA2F7C" w:rsidP="00EA2F7C">
      <w:pPr>
        <w:pStyle w:val="Heading1"/>
        <w:shd w:val="clear" w:color="auto" w:fill="FFFFFF"/>
        <w:spacing w:before="0" w:after="192"/>
        <w:rPr>
          <w:rFonts w:ascii="Times New Roman" w:eastAsia="Times New Roman" w:hAnsi="Times New Roman" w:cs="Times New Roman"/>
          <w:b w:val="0"/>
          <w:bCs w:val="0"/>
          <w:color w:val="auto"/>
          <w:sz w:val="24"/>
          <w:szCs w:val="24"/>
          <w:lang w:val="en-US"/>
        </w:rPr>
      </w:pPr>
      <w:r w:rsidRPr="001E621F">
        <w:rPr>
          <w:rFonts w:ascii="Times New Roman" w:eastAsia="Times New Roman" w:hAnsi="Times New Roman" w:cs="Times New Roman"/>
          <w:b w:val="0"/>
          <w:bCs w:val="0"/>
          <w:color w:val="auto"/>
          <w:sz w:val="24"/>
          <w:szCs w:val="24"/>
          <w:lang w:val="en-US"/>
        </w:rPr>
        <w:t>About arXiv</w:t>
      </w:r>
    </w:p>
    <w:p w14:paraId="0D0FABE4" w14:textId="77777777" w:rsidR="00EA2F7C" w:rsidRDefault="00EA2F7C" w:rsidP="00EA2F7C">
      <w:pPr>
        <w:spacing w:line="240" w:lineRule="auto"/>
        <w:rPr>
          <w:rFonts w:ascii="Helvetica" w:eastAsia="Times New Roman" w:hAnsi="Helvetica" w:cs="Helvetica"/>
          <w:color w:val="333333"/>
          <w:sz w:val="24"/>
          <w:szCs w:val="24"/>
          <w:lang w:eastAsia="en-IN"/>
        </w:rPr>
      </w:pPr>
    </w:p>
    <w:p w14:paraId="2D4201BA" w14:textId="77777777" w:rsidR="00EA2F7C" w:rsidRDefault="00EA2F7C" w:rsidP="00EA2F7C">
      <w:pPr>
        <w:spacing w:line="240" w:lineRule="auto"/>
      </w:pPr>
      <w:r w:rsidRPr="00F541F7">
        <w:rPr>
          <w:rFonts w:ascii="Helvetica" w:eastAsia="Times New Roman" w:hAnsi="Helvetica" w:cs="Helvetica"/>
          <w:color w:val="333333"/>
          <w:sz w:val="24"/>
          <w:szCs w:val="24"/>
          <w:lang w:eastAsia="en-IN"/>
        </w:rPr>
        <w:t xml:space="preserve">arXiv.org. </w:t>
      </w:r>
      <w:r w:rsidRPr="00185B86">
        <w:rPr>
          <w:rFonts w:ascii="Times New Roman" w:eastAsia="Times New Roman" w:hAnsi="Times New Roman" w:cs="Times New Roman"/>
          <w:sz w:val="24"/>
          <w:szCs w:val="24"/>
        </w:rPr>
        <w:t xml:space="preserve">Accessed </w:t>
      </w:r>
      <w:r>
        <w:t>August 14</w:t>
      </w:r>
      <w:r>
        <w:rPr>
          <w:rFonts w:ascii="Times New Roman" w:eastAsia="Times New Roman" w:hAnsi="Times New Roman" w:cs="Times New Roman"/>
          <w:sz w:val="24"/>
          <w:szCs w:val="24"/>
        </w:rPr>
        <w:t>,2022</w:t>
      </w:r>
      <w:r w:rsidRPr="00F541F7">
        <w:rPr>
          <w:rFonts w:ascii="Helvetica" w:eastAsia="Times New Roman" w:hAnsi="Helvetica" w:cs="Helvetica"/>
          <w:color w:val="333333"/>
          <w:sz w:val="24"/>
          <w:szCs w:val="24"/>
          <w:lang w:eastAsia="en-IN"/>
        </w:rPr>
        <w:t>. </w:t>
      </w:r>
      <w:hyperlink r:id="rId4" w:history="1">
        <w:r w:rsidRPr="00F541F7">
          <w:rPr>
            <w:rFonts w:ascii="Helvetica" w:eastAsia="Times New Roman" w:hAnsi="Helvetica" w:cs="Helvetica"/>
            <w:color w:val="981B1E"/>
            <w:sz w:val="24"/>
            <w:szCs w:val="24"/>
            <w:u w:val="single"/>
            <w:lang w:eastAsia="en-IN"/>
          </w:rPr>
          <w:t>https://arxiv.org/</w:t>
        </w:r>
      </w:hyperlink>
    </w:p>
    <w:p w14:paraId="58490360" w14:textId="77777777" w:rsidR="00EA2F7C" w:rsidRDefault="00EA2F7C" w:rsidP="00EA2F7C">
      <w:pPr>
        <w:autoSpaceDE w:val="0"/>
        <w:autoSpaceDN w:val="0"/>
        <w:adjustRightInd w:val="0"/>
        <w:spacing w:after="0" w:line="360" w:lineRule="auto"/>
        <w:jc w:val="both"/>
        <w:rPr>
          <w:rFonts w:cstheme="minorHAnsi"/>
          <w:sz w:val="24"/>
          <w:szCs w:val="24"/>
        </w:rPr>
      </w:pPr>
    </w:p>
    <w:p w14:paraId="04136CAB" w14:textId="77777777" w:rsidR="00EA2F7C" w:rsidRDefault="00EA2F7C" w:rsidP="00EA2F7C">
      <w:pPr>
        <w:autoSpaceDE w:val="0"/>
        <w:autoSpaceDN w:val="0"/>
        <w:adjustRightInd w:val="0"/>
        <w:spacing w:after="0" w:line="360" w:lineRule="auto"/>
        <w:jc w:val="both"/>
        <w:rPr>
          <w:rFonts w:cstheme="minorHAnsi"/>
          <w:sz w:val="24"/>
          <w:szCs w:val="24"/>
        </w:rPr>
      </w:pPr>
    </w:p>
    <w:p w14:paraId="783C9A15" w14:textId="77777777" w:rsidR="00EA2F7C" w:rsidRDefault="00EA2F7C" w:rsidP="00EA2F7C">
      <w:pPr>
        <w:autoSpaceDE w:val="0"/>
        <w:autoSpaceDN w:val="0"/>
        <w:adjustRightInd w:val="0"/>
        <w:spacing w:after="0" w:line="360" w:lineRule="auto"/>
        <w:jc w:val="both"/>
        <w:rPr>
          <w:rFonts w:cstheme="minorHAnsi"/>
          <w:sz w:val="24"/>
          <w:szCs w:val="24"/>
        </w:rPr>
      </w:pPr>
    </w:p>
    <w:p w14:paraId="47F02026" w14:textId="77777777" w:rsidR="00EA2F7C" w:rsidRPr="00486BFA" w:rsidRDefault="00EA2F7C" w:rsidP="00EA2F7C">
      <w:pPr>
        <w:autoSpaceDE w:val="0"/>
        <w:autoSpaceDN w:val="0"/>
        <w:adjustRightInd w:val="0"/>
        <w:spacing w:after="0" w:line="360" w:lineRule="auto"/>
        <w:jc w:val="both"/>
        <w:rPr>
          <w:rFonts w:cstheme="minorHAnsi"/>
          <w:sz w:val="24"/>
          <w:szCs w:val="24"/>
        </w:rPr>
      </w:pPr>
      <w:r>
        <w:rPr>
          <w:rFonts w:cstheme="minorHAnsi"/>
          <w:sz w:val="24"/>
          <w:szCs w:val="24"/>
        </w:rPr>
        <w:t xml:space="preserve">Hopefully, the publishers are on their way to recognizing preprints as a formal channel of scientific communication. The authors also need to cooperate with the publishers by providing the correct information about the preprint postings and updating the details according to the journal publishers' guidelines. </w:t>
      </w:r>
    </w:p>
    <w:p w14:paraId="620E29D8" w14:textId="77777777" w:rsidR="00EA2F7C" w:rsidRDefault="00EA2F7C" w:rsidP="00EA2F7C">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54682DB7" w14:textId="77777777" w:rsidR="00EA2F7C" w:rsidRPr="00623B73" w:rsidRDefault="00EA2F7C" w:rsidP="00EA2F7C">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623B73">
        <w:rPr>
          <w:rFonts w:asciiTheme="minorHAnsi" w:hAnsiTheme="minorHAnsi" w:cstheme="minorHAnsi"/>
          <w:color w:val="212529"/>
          <w:shd w:val="clear" w:color="auto" w:fill="FFFFFF"/>
        </w:rPr>
        <w:lastRenderedPageBreak/>
        <w:t xml:space="preserve">A preprint is any </w:t>
      </w:r>
      <w:r>
        <w:rPr>
          <w:rFonts w:asciiTheme="minorHAnsi" w:hAnsiTheme="minorHAnsi" w:cstheme="minorHAnsi"/>
          <w:color w:val="212529"/>
          <w:shd w:val="clear" w:color="auto" w:fill="FFFFFF"/>
        </w:rPr>
        <w:t>"</w:t>
      </w:r>
      <w:r w:rsidRPr="00623B73">
        <w:rPr>
          <w:rFonts w:asciiTheme="minorHAnsi" w:hAnsiTheme="minorHAnsi" w:cstheme="minorHAnsi"/>
          <w:color w:val="212529"/>
          <w:shd w:val="clear" w:color="auto" w:fill="FFFFFF"/>
        </w:rPr>
        <w:t>complete written description of a body of scientific work that has yet to be published in a journal</w:t>
      </w:r>
      <w:r>
        <w:rPr>
          <w:rFonts w:asciiTheme="minorHAnsi" w:hAnsiTheme="minorHAnsi" w:cstheme="minorHAnsi"/>
          <w:color w:val="212529"/>
          <w:shd w:val="clear" w:color="auto" w:fill="FFFFFF"/>
        </w:rPr>
        <w:t>"</w:t>
      </w:r>
      <w:r w:rsidRPr="00623B73">
        <w:rPr>
          <w:rFonts w:asciiTheme="minorHAnsi" w:hAnsiTheme="minorHAnsi" w:cstheme="minorHAnsi"/>
          <w:color w:val="212529"/>
          <w:shd w:val="clear" w:color="auto" w:fill="FFFFFF"/>
        </w:rPr>
        <w:t xml:space="preserve"> (Bourne et al., 2017). This can include data, poster presentations, or even completed manuscripts that haven</w:t>
      </w:r>
      <w:r>
        <w:rPr>
          <w:rFonts w:asciiTheme="minorHAnsi" w:hAnsiTheme="minorHAnsi" w:cstheme="minorHAnsi"/>
          <w:color w:val="212529"/>
          <w:shd w:val="clear" w:color="auto" w:fill="FFFFFF"/>
        </w:rPr>
        <w:t>'</w:t>
      </w:r>
      <w:r w:rsidRPr="00623B73">
        <w:rPr>
          <w:rFonts w:asciiTheme="minorHAnsi" w:hAnsiTheme="minorHAnsi" w:cstheme="minorHAnsi"/>
          <w:color w:val="212529"/>
          <w:shd w:val="clear" w:color="auto" w:fill="FFFFFF"/>
        </w:rPr>
        <w:t>t been submitted for peer review.</w:t>
      </w:r>
    </w:p>
    <w:p w14:paraId="3BAEB50D" w14:textId="77777777" w:rsidR="00EA2F7C" w:rsidRDefault="00EA2F7C" w:rsidP="00EA2F7C">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Pr>
          <w:rFonts w:ascii="AdvOT46dcae81" w:hAnsi="AdvOT46dcae81" w:cs="AdvOT46dcae81"/>
          <w:sz w:val="19"/>
          <w:szCs w:val="19"/>
        </w:rPr>
        <w:t>preprints are often not indexed by mainstream</w:t>
      </w:r>
    </w:p>
    <w:p w14:paraId="386478F5" w14:textId="77777777" w:rsidR="00EA2F7C" w:rsidRDefault="00EA2F7C" w:rsidP="00EA2F7C">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0181228E" w14:textId="77777777" w:rsidR="00EA2F7C" w:rsidRDefault="00EA2F7C" w:rsidP="00EA2F7C">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52174301" w14:textId="77777777" w:rsidR="00EA2F7C" w:rsidRDefault="00EA2F7C" w:rsidP="00EA2F7C">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617257A7" w14:textId="77777777" w:rsidR="00EA2F7C" w:rsidRDefault="00EA2F7C" w:rsidP="00EA2F7C">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7A99823F" w14:textId="77777777" w:rsidR="00EA2F7C" w:rsidRPr="00060432" w:rsidRDefault="00EA2F7C" w:rsidP="00EA2F7C">
      <w:pPr>
        <w:spacing w:line="360" w:lineRule="auto"/>
        <w:jc w:val="both"/>
        <w:rPr>
          <w:rFonts w:cstheme="minorHAnsi"/>
          <w:sz w:val="24"/>
          <w:szCs w:val="24"/>
        </w:rPr>
      </w:pPr>
      <w:r>
        <w:rPr>
          <w:rFonts w:ascii="Arial" w:hAnsi="Arial" w:cs="Arial"/>
          <w:sz w:val="20"/>
          <w:szCs w:val="20"/>
        </w:rPr>
        <w:t>they produce</w:t>
      </w:r>
    </w:p>
    <w:p w14:paraId="6E26B042" w14:textId="77777777" w:rsidR="00EA2F7C" w:rsidRDefault="00EA2F7C" w:rsidP="00EA2F7C">
      <w:pPr>
        <w:rPr>
          <w:rFonts w:ascii="Helvetica" w:hAnsi="Helvetica" w:cs="Helvetica"/>
          <w:sz w:val="19"/>
          <w:szCs w:val="19"/>
        </w:rPr>
      </w:pPr>
    </w:p>
    <w:p w14:paraId="5D44BA1A" w14:textId="77777777" w:rsidR="00EA2F7C" w:rsidRDefault="00EA2F7C" w:rsidP="00EA2F7C">
      <w:pPr>
        <w:rPr>
          <w:rFonts w:ascii="Helvetica" w:hAnsi="Helvetica" w:cs="Helvetica"/>
          <w:sz w:val="19"/>
          <w:szCs w:val="19"/>
        </w:rPr>
      </w:pPr>
      <w:r>
        <w:rPr>
          <w:rFonts w:ascii="Helvetica" w:hAnsi="Helvetica" w:cs="Helvetica"/>
          <w:sz w:val="19"/>
          <w:szCs w:val="19"/>
        </w:rPr>
        <w:t>medRxiv</w:t>
      </w:r>
    </w:p>
    <w:p w14:paraId="30A46777" w14:textId="77777777" w:rsidR="00EA2F7C" w:rsidRDefault="00EA2F7C" w:rsidP="00EA2F7C">
      <w:r w:rsidRPr="00B52194">
        <w:t>One of  the  first  in  this  new  wave  was  the  discipline-based  server, bioRxiv  –  set  up  by  the  Cold  Spring  Harbor  Laboratory  in  2013 to  cover  the  life  sciences</w:t>
      </w:r>
    </w:p>
    <w:p w14:paraId="2E2208EA" w14:textId="77777777" w:rsidR="00EA2F7C" w:rsidRDefault="00EA2F7C" w:rsidP="00EA2F7C">
      <w:pPr>
        <w:rPr>
          <w:rFonts w:ascii="MyriadPro-Regular" w:hAnsi="MyriadPro-Regular" w:cs="MyriadPro-Regular"/>
          <w:sz w:val="23"/>
          <w:szCs w:val="23"/>
        </w:rPr>
      </w:pPr>
      <w:r>
        <w:rPr>
          <w:rFonts w:ascii="MyriadPro-Regular" w:hAnsi="MyriadPro-Regular" w:cs="MyriadPro-Regular"/>
          <w:sz w:val="23"/>
          <w:szCs w:val="23"/>
        </w:rPr>
        <w:t>RePec</w:t>
      </w:r>
    </w:p>
    <w:p w14:paraId="6ABCB3D3" w14:textId="77777777" w:rsidR="00EA2F7C" w:rsidRDefault="00EA2F7C" w:rsidP="00EA2F7C">
      <w:pPr>
        <w:rPr>
          <w:rFonts w:ascii="MyriadPro-Regular" w:hAnsi="MyriadPro-Regular" w:cs="MyriadPro-Regular"/>
          <w:sz w:val="23"/>
          <w:szCs w:val="23"/>
        </w:rPr>
      </w:pPr>
      <w:r>
        <w:rPr>
          <w:rFonts w:ascii="MyriadPro-Regular" w:hAnsi="MyriadPro-Regular" w:cs="MyriadPro-Regular"/>
          <w:sz w:val="23"/>
          <w:szCs w:val="23"/>
        </w:rPr>
        <w:t>arXiv,</w:t>
      </w:r>
    </w:p>
    <w:p w14:paraId="644B960B" w14:textId="77777777" w:rsidR="00EA2F7C" w:rsidRDefault="00EA2F7C" w:rsidP="00EA2F7C">
      <w:pPr>
        <w:rPr>
          <w:rFonts w:ascii="MyriadPro-Regular" w:hAnsi="MyriadPro-Regular" w:cs="MyriadPro-Regular"/>
          <w:sz w:val="23"/>
          <w:szCs w:val="23"/>
        </w:rPr>
      </w:pPr>
      <w:r>
        <w:rPr>
          <w:rFonts w:ascii="MyriadPro-Regular" w:hAnsi="MyriadPro-Regular" w:cs="MyriadPro-Regular"/>
          <w:sz w:val="23"/>
          <w:szCs w:val="23"/>
        </w:rPr>
        <w:t>SSRN</w:t>
      </w:r>
    </w:p>
    <w:p w14:paraId="42C80F85"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PubMed, Crossref, Lens, Dimensions, Microsoft Academic), and major manual referencing</w:t>
      </w:r>
    </w:p>
    <w:p w14:paraId="10082DE5"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preprints should be cited in scholarly papers</w:t>
      </w:r>
    </w:p>
    <w:p w14:paraId="24D57619"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p>
    <w:p w14:paraId="2C2050A2"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preprints, as well as scrutiny and the number of comments they received on both social media platforms</w:t>
      </w:r>
    </w:p>
    <w:p w14:paraId="6EC22F7D"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p>
    <w:p w14:paraId="2AA4CA0B" w14:textId="77777777" w:rsidR="00EA2F7C" w:rsidRDefault="00EA2F7C" w:rsidP="00EA2F7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preprints to be cited in grant applications in</w:t>
      </w:r>
    </w:p>
    <w:p w14:paraId="0EE7D6C0" w14:textId="77777777" w:rsidR="00EA2F7C" w:rsidRDefault="00EA2F7C" w:rsidP="00EA2F7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preprints to be cited in articles</w:t>
      </w:r>
    </w:p>
    <w:p w14:paraId="6F26338D" w14:textId="77777777" w:rsidR="00EA2F7C" w:rsidRDefault="00EA2F7C" w:rsidP="00EA2F7C">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preprints, NLM is today launching the first phase of the </w:t>
      </w:r>
      <w:hyperlink r:id="rId5" w:history="1">
        <w:r>
          <w:rPr>
            <w:rStyle w:val="Hyperlink"/>
            <w:rFonts w:ascii="Lato" w:eastAsiaTheme="majorEastAsia" w:hAnsi="Lato"/>
            <w:color w:val="007ACC"/>
            <w:sz w:val="20"/>
            <w:szCs w:val="20"/>
          </w:rPr>
          <w:t>NIH Preprint Pilot</w:t>
        </w:r>
      </w:hyperlink>
      <w:r>
        <w:rPr>
          <w:rFonts w:ascii="Lato" w:hAnsi="Lato"/>
          <w:color w:val="1A1A1A"/>
          <w:sz w:val="20"/>
          <w:szCs w:val="20"/>
        </w:rPr>
        <w:t>, which will test the viability of making preprints searchable in </w:t>
      </w:r>
      <w:hyperlink r:id="rId6" w:history="1">
        <w:r>
          <w:rPr>
            <w:rStyle w:val="Hyperlink"/>
            <w:rFonts w:ascii="Lato" w:eastAsiaTheme="majorEastAsia" w:hAnsi="Lato"/>
            <w:color w:val="007ACC"/>
            <w:sz w:val="20"/>
            <w:szCs w:val="20"/>
          </w:rPr>
          <w:t>PubMed Central (PMC)</w:t>
        </w:r>
      </w:hyperlink>
      <w:r>
        <w:rPr>
          <w:rFonts w:ascii="Lato" w:hAnsi="Lato"/>
          <w:color w:val="1A1A1A"/>
          <w:sz w:val="20"/>
          <w:szCs w:val="20"/>
        </w:rPr>
        <w:t> and, by extension, discoverable in </w:t>
      </w:r>
      <w:hyperlink r:id="rId7" w:history="1">
        <w:r>
          <w:rPr>
            <w:rStyle w:val="Hyperlink"/>
            <w:rFonts w:ascii="Lato" w:eastAsiaTheme="majorEastAsia" w:hAnsi="Lato"/>
            <w:color w:val="007ACC"/>
            <w:sz w:val="20"/>
            <w:szCs w:val="20"/>
          </w:rPr>
          <w:t>PubMed</w:t>
        </w:r>
      </w:hyperlink>
      <w:r>
        <w:rPr>
          <w:rFonts w:ascii="Lato" w:hAnsi="Lato"/>
          <w:color w:val="1A1A1A"/>
          <w:sz w:val="20"/>
          <w:szCs w:val="20"/>
        </w:rPr>
        <w:t xml:space="preserve">, starting with COVID-19 pre-prints reporting NIH-supported research on </w:t>
      </w:r>
      <w:hyperlink r:id="rId8" w:history="1">
        <w:r>
          <w:rPr>
            <w:rStyle w:val="Hyperlink"/>
            <w:rFonts w:ascii="Lato" w:eastAsiaTheme="majorEastAsia" w:hAnsi="Lato"/>
            <w:color w:val="686868"/>
            <w:sz w:val="16"/>
            <w:szCs w:val="16"/>
          </w:rPr>
          <w:t>June 9, 2020</w:t>
        </w:r>
      </w:hyperlink>
      <w:r>
        <w:t xml:space="preserve">. </w:t>
      </w:r>
      <w:r>
        <w:rPr>
          <w:rFonts w:ascii="Roboto" w:hAnsi="Roboto"/>
          <w:color w:val="423F3E"/>
          <w:sz w:val="23"/>
          <w:szCs w:val="23"/>
        </w:rPr>
        <w:t> </w:t>
      </w:r>
    </w:p>
    <w:p w14:paraId="2794A415" w14:textId="77777777" w:rsidR="00EA2F7C" w:rsidRDefault="00EA2F7C" w:rsidP="00EA2F7C">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9" w:tgtFrame="_blank" w:history="1">
        <w:r>
          <w:rPr>
            <w:rStyle w:val="Hyperlink"/>
            <w:rFonts w:ascii="Roboto" w:eastAsiaTheme="majorEastAsia"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0C6776D9" w14:textId="77777777" w:rsidR="00EA2F7C" w:rsidRDefault="00EA2F7C" w:rsidP="00EA2F7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(CfRS)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p>
    <w:p w14:paraId="784725AA" w14:textId="77777777" w:rsidR="00EA2F7C" w:rsidRDefault="00EA2F7C" w:rsidP="00EA2F7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lastRenderedPageBreak/>
        <w:t>Elsevier is a signatory to the </w:t>
      </w:r>
      <w:hyperlink r:id="rId10" w:tgtFrame="_blank" w:history="1">
        <w:r>
          <w:rPr>
            <w:rStyle w:val="Hyperlink"/>
            <w:rFonts w:ascii="Arial" w:hAnsi="Arial" w:cs="Arial"/>
            <w:color w:val="007398"/>
            <w:sz w:val="30"/>
            <w:szCs w:val="30"/>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1" w:tgtFrame="_blank" w:history="1">
        <w:r>
          <w:rPr>
            <w:rStyle w:val="Hyperlink"/>
            <w:rFonts w:ascii="Arial" w:hAnsi="Arial" w:cs="Arial"/>
            <w:color w:val="007398"/>
            <w:sz w:val="30"/>
            <w:szCs w:val="30"/>
            <w:shd w:val="clear" w:color="auto" w:fill="FFFFFF"/>
          </w:rPr>
          <w:t>Coalition for Responsible Sharing</w:t>
        </w:r>
      </w:hyperlink>
      <w:r>
        <w:rPr>
          <w:rFonts w:ascii="Arial" w:hAnsi="Arial" w:cs="Arial"/>
          <w:color w:val="53565A"/>
          <w:sz w:val="30"/>
          <w:szCs w:val="30"/>
          <w:shd w:val="clear" w:color="auto" w:fill="FFFFFF"/>
        </w:rPr>
        <w:t>.</w:t>
      </w:r>
    </w:p>
    <w:p w14:paraId="5C7CEBDC" w14:textId="77777777" w:rsidR="00EA2F7C" w:rsidRDefault="00EA2F7C" w:rsidP="00EA2F7C">
      <w:pPr>
        <w:autoSpaceDE w:val="0"/>
        <w:autoSpaceDN w:val="0"/>
        <w:adjustRightInd w:val="0"/>
        <w:spacing w:after="0" w:line="240" w:lineRule="auto"/>
        <w:rPr>
          <w:rFonts w:ascii="Arial" w:hAnsi="Arial" w:cs="Arial"/>
          <w:color w:val="53565A"/>
          <w:sz w:val="30"/>
          <w:szCs w:val="30"/>
          <w:shd w:val="clear" w:color="auto" w:fill="FFFFFF"/>
        </w:rPr>
      </w:pPr>
    </w:p>
    <w:p w14:paraId="3F712F90" w14:textId="77777777" w:rsidR="00EA2F7C" w:rsidRDefault="00EA2F7C" w:rsidP="00EA2F7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preprint policies. Please check the journals Guide for Authors for further information</w:t>
      </w:r>
    </w:p>
    <w:p w14:paraId="743A7C94"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p>
    <w:p w14:paraId="02CA2EBC"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Many</w:t>
      </w:r>
      <w:r>
        <w:rPr>
          <w:rFonts w:ascii="MyriadPro-Regular" w:hAnsi="MyriadPro-Regular" w:cs="MyriadPro-Regular"/>
          <w:sz w:val="23"/>
          <w:szCs w:val="23"/>
        </w:rPr>
        <w:t xml:space="preserve"> </w:t>
      </w:r>
      <w:r w:rsidRPr="00364AFC">
        <w:rPr>
          <w:rFonts w:ascii="MyriadPro-Regular" w:hAnsi="MyriadPro-Regular" w:cs="MyriadPro-Regular"/>
          <w:sz w:val="23"/>
          <w:szCs w:val="23"/>
        </w:rPr>
        <w:t>journals</w:t>
      </w:r>
      <w:r>
        <w:rPr>
          <w:rFonts w:ascii="MyriadPro-Regular" w:hAnsi="MyriadPro-Regular" w:cs="MyriadPro-Regular"/>
          <w:sz w:val="23"/>
          <w:szCs w:val="23"/>
        </w:rPr>
        <w:t xml:space="preserve"> </w:t>
      </w:r>
      <w:r w:rsidRPr="00364AFC">
        <w:rPr>
          <w:rFonts w:ascii="MyriadPro-Regular" w:hAnsi="MyriadPro-Regular" w:cs="MyriadPro-Regular"/>
          <w:sz w:val="23"/>
          <w:szCs w:val="23"/>
        </w:rPr>
        <w:t>will</w:t>
      </w:r>
      <w:r>
        <w:rPr>
          <w:rFonts w:ascii="MyriadPro-Regular" w:hAnsi="MyriadPro-Regular" w:cs="MyriadPro-Regular"/>
          <w:sz w:val="23"/>
          <w:szCs w:val="23"/>
        </w:rPr>
        <w:t xml:space="preserve"> </w:t>
      </w:r>
      <w:r w:rsidRPr="00364AFC">
        <w:rPr>
          <w:rFonts w:ascii="MyriadPro-Regular" w:hAnsi="MyriadPro-Regular" w:cs="MyriadPro-Regular"/>
          <w:sz w:val="23"/>
          <w:szCs w:val="23"/>
        </w:rPr>
        <w:t>now</w:t>
      </w:r>
      <w:r>
        <w:rPr>
          <w:rFonts w:ascii="MyriadPro-Regular" w:hAnsi="MyriadPro-Regular" w:cs="MyriadPro-Regular"/>
          <w:sz w:val="23"/>
          <w:szCs w:val="23"/>
        </w:rPr>
        <w:t xml:space="preserve"> </w:t>
      </w:r>
      <w:r w:rsidRPr="00364AFC">
        <w:rPr>
          <w:rFonts w:ascii="MyriadPro-Regular" w:hAnsi="MyriadPro-Regular" w:cs="MyriadPro-Regular"/>
          <w:sz w:val="23"/>
          <w:szCs w:val="23"/>
        </w:rPr>
        <w:t>consider</w:t>
      </w:r>
      <w:r>
        <w:rPr>
          <w:rFonts w:ascii="MyriadPro-Regular" w:hAnsi="MyriadPro-Regular" w:cs="MyriadPro-Regular"/>
          <w:sz w:val="23"/>
          <w:szCs w:val="23"/>
        </w:rPr>
        <w:t xml:space="preserve"> </w:t>
      </w:r>
      <w:r w:rsidRPr="00364AFC">
        <w:rPr>
          <w:rFonts w:ascii="MyriadPro-Regular" w:hAnsi="MyriadPro-Regular" w:cs="MyriadPro-Regular"/>
          <w:sz w:val="23"/>
          <w:szCs w:val="23"/>
        </w:rPr>
        <w:t>an</w:t>
      </w:r>
      <w:r>
        <w:rPr>
          <w:rFonts w:ascii="MyriadPro-Regular" w:hAnsi="MyriadPro-Regular" w:cs="MyriadPro-Regular"/>
          <w:sz w:val="23"/>
          <w:szCs w:val="23"/>
        </w:rPr>
        <w:t xml:space="preserve"> </w:t>
      </w:r>
      <w:r w:rsidRPr="00364AFC">
        <w:rPr>
          <w:rFonts w:ascii="MyriadPro-Regular" w:hAnsi="MyriadPro-Regular" w:cs="MyriadPro-Regular"/>
          <w:sz w:val="23"/>
          <w:szCs w:val="23"/>
        </w:rPr>
        <w:t>article</w:t>
      </w:r>
      <w:r>
        <w:rPr>
          <w:rFonts w:ascii="MyriadPro-Regular" w:hAnsi="MyriadPro-Regular" w:cs="MyriadPro-Regular"/>
          <w:sz w:val="23"/>
          <w:szCs w:val="23"/>
        </w:rPr>
        <w:t xml:space="preserve"> </w:t>
      </w:r>
      <w:r w:rsidRPr="00364AFC">
        <w:rPr>
          <w:rFonts w:ascii="MyriadPro-Regular" w:hAnsi="MyriadPro-Regular" w:cs="MyriadPro-Regular"/>
          <w:sz w:val="23"/>
          <w:szCs w:val="23"/>
        </w:rPr>
        <w:t>that</w:t>
      </w:r>
      <w:r>
        <w:rPr>
          <w:rFonts w:ascii="MyriadPro-Regular" w:hAnsi="MyriadPro-Regular" w:cs="MyriadPro-Regular"/>
          <w:sz w:val="23"/>
          <w:szCs w:val="23"/>
        </w:rPr>
        <w:t xml:space="preserve"> </w:t>
      </w:r>
      <w:r w:rsidRPr="00364AFC">
        <w:rPr>
          <w:rFonts w:ascii="MyriadPro-Regular" w:hAnsi="MyriadPro-Regular" w:cs="MyriadPro-Regular"/>
          <w:sz w:val="23"/>
          <w:szCs w:val="23"/>
        </w:rPr>
        <w:t>has</w:t>
      </w:r>
      <w:r>
        <w:rPr>
          <w:rFonts w:ascii="MyriadPro-Regular" w:hAnsi="MyriadPro-Regular" w:cs="MyriadPro-Regular"/>
          <w:sz w:val="23"/>
          <w:szCs w:val="23"/>
        </w:rPr>
        <w:t xml:space="preserve"> </w:t>
      </w:r>
      <w:r w:rsidRPr="00364AFC">
        <w:rPr>
          <w:rFonts w:ascii="MyriadPro-Regular" w:hAnsi="MyriadPro-Regular" w:cs="MyriadPro-Regular"/>
          <w:sz w:val="23"/>
          <w:szCs w:val="23"/>
        </w:rPr>
        <w:t>appeared</w:t>
      </w:r>
      <w:r>
        <w:rPr>
          <w:rFonts w:ascii="MyriadPro-Regular" w:hAnsi="MyriadPro-Regular" w:cs="MyriadPro-Regular"/>
          <w:sz w:val="23"/>
          <w:szCs w:val="23"/>
        </w:rPr>
        <w:t xml:space="preserve"> </w:t>
      </w:r>
      <w:r w:rsidRPr="00364AFC">
        <w:rPr>
          <w:rFonts w:ascii="MyriadPro-Regular" w:hAnsi="MyriadPro-Regular" w:cs="MyriadPro-Regular"/>
          <w:sz w:val="23"/>
          <w:szCs w:val="23"/>
        </w:rPr>
        <w:t>on</w:t>
      </w:r>
      <w:r>
        <w:rPr>
          <w:rFonts w:ascii="MyriadPro-Regular" w:hAnsi="MyriadPro-Regular" w:cs="MyriadPro-Regular"/>
          <w:sz w:val="23"/>
          <w:szCs w:val="23"/>
        </w:rPr>
        <w:t xml:space="preserve"> </w:t>
      </w:r>
      <w:r w:rsidRPr="00364AFC">
        <w:rPr>
          <w:rFonts w:ascii="MyriadPro-Regular" w:hAnsi="MyriadPro-Regular" w:cs="MyriadPro-Regular"/>
          <w:sz w:val="23"/>
          <w:szCs w:val="23"/>
        </w:rPr>
        <w:t>a</w:t>
      </w:r>
      <w:r>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Pr>
          <w:rFonts w:ascii="MyriadPro-Regular" w:hAnsi="MyriadPro-Regular" w:cs="MyriadPro-Regular"/>
          <w:sz w:val="23"/>
          <w:szCs w:val="23"/>
        </w:rPr>
        <w:t xml:space="preserve"> </w:t>
      </w:r>
      <w:r w:rsidRPr="00364AFC">
        <w:rPr>
          <w:rFonts w:ascii="MyriadPro-Regular" w:hAnsi="MyriadPro-Regular" w:cs="MyriadPro-Regular"/>
          <w:sz w:val="23"/>
          <w:szCs w:val="23"/>
        </w:rPr>
        <w:t>server,</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grant-awarding</w:t>
      </w:r>
      <w:r>
        <w:rPr>
          <w:rFonts w:ascii="MyriadPro-Regular" w:hAnsi="MyriadPro-Regular" w:cs="MyriadPro-Regular"/>
          <w:sz w:val="23"/>
          <w:szCs w:val="23"/>
        </w:rPr>
        <w:t xml:space="preserve"> </w:t>
      </w:r>
      <w:r w:rsidRPr="00364AFC">
        <w:rPr>
          <w:rFonts w:ascii="MyriadPro-Regular" w:hAnsi="MyriadPro-Regular" w:cs="MyriadPro-Regular"/>
          <w:sz w:val="23"/>
          <w:szCs w:val="23"/>
        </w:rPr>
        <w:t>bodies</w:t>
      </w:r>
      <w:r>
        <w:rPr>
          <w:rFonts w:ascii="MyriadPro-Regular" w:hAnsi="MyriadPro-Regular" w:cs="MyriadPro-Regular"/>
          <w:sz w:val="23"/>
          <w:szCs w:val="23"/>
        </w:rPr>
        <w:t xml:space="preserve"> </w:t>
      </w:r>
      <w:r w:rsidRPr="00364AFC">
        <w:rPr>
          <w:rFonts w:ascii="MyriadPro-Regular" w:hAnsi="MyriadPro-Regular" w:cs="MyriadPro-Regular"/>
          <w:sz w:val="23"/>
          <w:szCs w:val="23"/>
        </w:rPr>
        <w:t>on</w:t>
      </w:r>
      <w:r>
        <w:rPr>
          <w:rFonts w:ascii="MyriadPro-Regular" w:hAnsi="MyriadPro-Regular" w:cs="MyriadPro-Regular"/>
          <w:sz w:val="23"/>
          <w:szCs w:val="23"/>
        </w:rPr>
        <w:t xml:space="preserve"> </w:t>
      </w:r>
      <w:r w:rsidRPr="00364AFC">
        <w:rPr>
          <w:rFonts w:ascii="MyriadPro-Regular" w:hAnsi="MyriadPro-Regular" w:cs="MyriadPro-Regular"/>
          <w:sz w:val="23"/>
          <w:szCs w:val="23"/>
        </w:rPr>
        <w:t>both</w:t>
      </w:r>
      <w:r>
        <w:rPr>
          <w:rFonts w:ascii="MyriadPro-Regular" w:hAnsi="MyriadPro-Regular" w:cs="MyriadPro-Regular"/>
          <w:sz w:val="23"/>
          <w:szCs w:val="23"/>
        </w:rPr>
        <w:t xml:space="preserve"> </w:t>
      </w:r>
      <w:r w:rsidRPr="00364AFC">
        <w:rPr>
          <w:rFonts w:ascii="MyriadPro-Regular" w:hAnsi="MyriadPro-Regular" w:cs="MyriadPro-Regular"/>
          <w:sz w:val="23"/>
          <w:szCs w:val="23"/>
        </w:rPr>
        <w:t>sides</w:t>
      </w:r>
      <w:r>
        <w:rPr>
          <w:rFonts w:ascii="MyriadPro-Regular" w:hAnsi="MyriadPro-Regular" w:cs="MyriadPro-Regular"/>
          <w:sz w:val="23"/>
          <w:szCs w:val="23"/>
        </w:rPr>
        <w:t xml:space="preserve"> </w:t>
      </w:r>
      <w:r w:rsidRPr="00364AFC">
        <w:rPr>
          <w:rFonts w:ascii="MyriadPro-Regular" w:hAnsi="MyriadPro-Regular" w:cs="MyriadPro-Regular"/>
          <w:sz w:val="23"/>
          <w:szCs w:val="23"/>
        </w:rPr>
        <w:t>of</w:t>
      </w:r>
      <w:r>
        <w:rPr>
          <w:rFonts w:ascii="MyriadPro-Regular" w:hAnsi="MyriadPro-Regular" w:cs="MyriadPro-Regular"/>
          <w:sz w:val="23"/>
          <w:szCs w:val="23"/>
        </w:rPr>
        <w:t xml:space="preserve"> </w:t>
      </w:r>
      <w:r w:rsidRPr="00364AFC">
        <w:rPr>
          <w:rFonts w:ascii="MyriadPro-Regular" w:hAnsi="MyriadPro-Regular" w:cs="MyriadPro-Regular"/>
          <w:sz w:val="23"/>
          <w:szCs w:val="23"/>
        </w:rPr>
        <w:t>the</w:t>
      </w:r>
      <w:r>
        <w:rPr>
          <w:rFonts w:ascii="MyriadPro-Regular" w:hAnsi="MyriadPro-Regular" w:cs="MyriadPro-Regular"/>
          <w:sz w:val="23"/>
          <w:szCs w:val="23"/>
        </w:rPr>
        <w:t xml:space="preserve"> </w:t>
      </w:r>
      <w:r w:rsidRPr="00364AFC">
        <w:rPr>
          <w:rFonts w:ascii="MyriadPro-Regular" w:hAnsi="MyriadPro-Regular" w:cs="MyriadPro-Regular"/>
          <w:sz w:val="23"/>
          <w:szCs w:val="23"/>
        </w:rPr>
        <w:t>Atlantic</w:t>
      </w:r>
      <w:r>
        <w:rPr>
          <w:rFonts w:ascii="MyriadPro-Regular" w:hAnsi="MyriadPro-Regular" w:cs="MyriadPro-Regular"/>
          <w:sz w:val="23"/>
          <w:szCs w:val="23"/>
        </w:rPr>
        <w:t xml:space="preserve"> </w:t>
      </w:r>
      <w:r w:rsidRPr="00364AFC">
        <w:rPr>
          <w:rFonts w:ascii="MyriadPro-Regular" w:hAnsi="MyriadPro-Regular" w:cs="MyriadPro-Regular"/>
          <w:sz w:val="23"/>
          <w:szCs w:val="23"/>
        </w:rPr>
        <w:t>allow</w:t>
      </w:r>
      <w:r>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Pr>
          <w:rFonts w:ascii="MyriadPro-Regular" w:hAnsi="MyriadPro-Regular" w:cs="MyriadPro-Regular"/>
          <w:sz w:val="23"/>
          <w:szCs w:val="23"/>
        </w:rPr>
        <w:t xml:space="preserve"> </w:t>
      </w:r>
      <w:r w:rsidRPr="00364AFC">
        <w:rPr>
          <w:rFonts w:ascii="MyriadPro-Regular" w:hAnsi="MyriadPro-Regular" w:cs="MyriadPro-Regular"/>
          <w:sz w:val="23"/>
          <w:szCs w:val="23"/>
        </w:rPr>
        <w:t>to</w:t>
      </w:r>
      <w:r>
        <w:rPr>
          <w:rFonts w:ascii="MyriadPro-Regular" w:hAnsi="MyriadPro-Regular" w:cs="MyriadPro-Regular"/>
          <w:sz w:val="23"/>
          <w:szCs w:val="23"/>
        </w:rPr>
        <w:t xml:space="preserve"> </w:t>
      </w:r>
      <w:r w:rsidRPr="00364AFC">
        <w:rPr>
          <w:rFonts w:ascii="MyriadPro-Regular" w:hAnsi="MyriadPro-Regular" w:cs="MyriadPro-Regular"/>
          <w:sz w:val="23"/>
          <w:szCs w:val="23"/>
        </w:rPr>
        <w:t>be</w:t>
      </w:r>
      <w:r>
        <w:rPr>
          <w:rFonts w:ascii="MyriadPro-Regular" w:hAnsi="MyriadPro-Regular" w:cs="MyriadPro-Regular"/>
          <w:sz w:val="23"/>
          <w:szCs w:val="23"/>
        </w:rPr>
        <w:t xml:space="preserve"> </w:t>
      </w:r>
      <w:r w:rsidRPr="00364AFC">
        <w:rPr>
          <w:rFonts w:ascii="MyriadPro-Regular" w:hAnsi="MyriadPro-Regular" w:cs="MyriadPro-Regular"/>
          <w:sz w:val="23"/>
          <w:szCs w:val="23"/>
        </w:rPr>
        <w:t>cited</w:t>
      </w:r>
      <w:r>
        <w:rPr>
          <w:rFonts w:ascii="MyriadPro-Regular" w:hAnsi="MyriadPro-Regular" w:cs="MyriadPro-Regular"/>
          <w:sz w:val="23"/>
          <w:szCs w:val="23"/>
        </w:rPr>
        <w:t xml:space="preserve"> </w:t>
      </w:r>
      <w:r w:rsidRPr="00364AFC">
        <w:rPr>
          <w:rFonts w:ascii="MyriadPro-Regular" w:hAnsi="MyriadPro-Regular" w:cs="MyriadPro-Regular"/>
          <w:sz w:val="23"/>
          <w:szCs w:val="23"/>
        </w:rPr>
        <w:t>in</w:t>
      </w:r>
      <w:r>
        <w:rPr>
          <w:rFonts w:ascii="MyriadPro-Regular" w:hAnsi="MyriadPro-Regular" w:cs="MyriadPro-Regular"/>
          <w:sz w:val="23"/>
          <w:szCs w:val="23"/>
        </w:rPr>
        <w:t xml:space="preserve"> </w:t>
      </w:r>
      <w:r w:rsidRPr="00364AFC">
        <w:rPr>
          <w:rFonts w:ascii="MyriadPro-Regular" w:hAnsi="MyriadPro-Regular" w:cs="MyriadPro-Regular"/>
          <w:sz w:val="23"/>
          <w:szCs w:val="23"/>
        </w:rPr>
        <w:t>grant</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fellowship</w:t>
      </w:r>
      <w:r>
        <w:rPr>
          <w:rFonts w:ascii="MyriadPro-Regular" w:hAnsi="MyriadPro-Regular" w:cs="MyriadPro-Regular"/>
          <w:sz w:val="23"/>
          <w:szCs w:val="23"/>
        </w:rPr>
        <w:t xml:space="preserve"> </w:t>
      </w:r>
      <w:r w:rsidRPr="00364AFC">
        <w:rPr>
          <w:rFonts w:ascii="MyriadPro-Regular" w:hAnsi="MyriadPro-Regular" w:cs="MyriadPro-Regular"/>
          <w:sz w:val="23"/>
          <w:szCs w:val="23"/>
        </w:rPr>
        <w:t>applications</w:t>
      </w:r>
    </w:p>
    <w:p w14:paraId="216F843E"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p>
    <w:p w14:paraId="4E30FCDE" w14:textId="77777777" w:rsidR="00EA2F7C" w:rsidRDefault="00EA2F7C" w:rsidP="00EA2F7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48619FEC" w14:textId="77777777" w:rsidR="00EA2F7C" w:rsidRDefault="00EA2F7C" w:rsidP="00EA2F7C">
      <w:pPr>
        <w:autoSpaceDE w:val="0"/>
        <w:autoSpaceDN w:val="0"/>
        <w:adjustRightInd w:val="0"/>
        <w:spacing w:after="0" w:line="240" w:lineRule="auto"/>
        <w:rPr>
          <w:rFonts w:ascii="AdvTT4dbafa8d" w:hAnsi="AdvTT4dbafa8d" w:cs="AdvTT4dbafa8d"/>
          <w:sz w:val="18"/>
          <w:szCs w:val="18"/>
        </w:rPr>
      </w:pPr>
    </w:p>
    <w:p w14:paraId="64410151" w14:textId="77777777" w:rsidR="00EA2F7C" w:rsidRDefault="00EA2F7C" w:rsidP="00EA2F7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Mechanisms for more formal dissemination emerged in the early 1990s with arXiv, a repository that now hosts more than 1.3 million preprints in physics, mathematics, and allied fields. SSRN, a preprint service originally for social science research, started in 1994. And, since 2013, more than two dozen preprint services have launched representing a wide variety of topics, indicating growing recognition of this mechanism of communication across all areas of scholarship</w:t>
      </w:r>
    </w:p>
    <w:p w14:paraId="2CDC5F70" w14:textId="77777777" w:rsidR="00EA2F7C" w:rsidRDefault="00EA2F7C" w:rsidP="00EA2F7C">
      <w:pPr>
        <w:autoSpaceDE w:val="0"/>
        <w:autoSpaceDN w:val="0"/>
        <w:adjustRightInd w:val="0"/>
        <w:spacing w:after="0" w:line="240" w:lineRule="auto"/>
        <w:jc w:val="both"/>
        <w:rPr>
          <w:rFonts w:ascii="AdvTT4dbafa8d" w:hAnsi="AdvTT4dbafa8d" w:cs="AdvTT4dbafa8d"/>
          <w:sz w:val="18"/>
          <w:szCs w:val="18"/>
        </w:rPr>
      </w:pPr>
    </w:p>
    <w:p w14:paraId="1D460B74" w14:textId="77777777" w:rsidR="00EA2F7C" w:rsidRDefault="00EA2F7C" w:rsidP="00EA2F7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preprints only recently rose to prominence, they were first introduced in 1961 as part of a US National</w:t>
      </w:r>
    </w:p>
    <w:p w14:paraId="23322AB9" w14:textId="77777777" w:rsidR="00EA2F7C" w:rsidRDefault="00EA2F7C" w:rsidP="00EA2F7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 </w:t>
      </w:r>
      <w:r>
        <w:rPr>
          <w:rFonts w:ascii="Helvetica" w:hAnsi="Helvetica" w:cs="Helvetica"/>
          <w:color w:val="333333"/>
        </w:rPr>
        <w:t>Cobb  M</w:t>
      </w:r>
      <w:r>
        <w:rPr>
          <w:rFonts w:ascii="Tahoma" w:hAnsi="Tahoma" w:cs="Tahoma"/>
          <w:color w:val="333333"/>
        </w:rPr>
        <w:t>﻿</w:t>
      </w:r>
      <w:r>
        <w:rPr>
          <w:rFonts w:ascii="Helvetica" w:hAnsi="Helvetica" w:cs="Helvetica"/>
          <w:color w:val="333333"/>
        </w:rPr>
        <w:t>.  The prehistory of biology preprints: a forgotten experiment from the 1960s. </w:t>
      </w:r>
      <w:r>
        <w:rPr>
          <w:rFonts w:ascii="Tahoma" w:hAnsi="Tahoma" w:cs="Tahoma"/>
          <w:color w:val="333333"/>
        </w:rPr>
        <w:t>﻿</w:t>
      </w:r>
      <w:r>
        <w:rPr>
          <w:rFonts w:ascii="Helvetica" w:hAnsi="Helvetica" w:cs="Helvetica"/>
          <w:color w:val="333333"/>
        </w:rPr>
        <w:t> </w:t>
      </w:r>
      <w:r>
        <w:rPr>
          <w:rFonts w:ascii="Helvetica" w:hAnsi="Helvetica" w:cs="Helvetica"/>
          <w:i/>
          <w:iCs/>
          <w:color w:val="333333"/>
        </w:rPr>
        <w:t> PLoS Biol</w:t>
      </w:r>
      <w:r>
        <w:rPr>
          <w:rFonts w:ascii="Helvetica" w:hAnsi="Helvetica" w:cs="Helvetica"/>
          <w:color w:val="333333"/>
        </w:rPr>
        <w:t>. 2017;15(11):e2003995. doi:</w:t>
      </w:r>
      <w:hyperlink r:id="rId12" w:history="1">
        <w:r>
          <w:rPr>
            <w:rStyle w:val="Hyperlink"/>
            <w:rFonts w:ascii="Helvetica" w:hAnsi="Helvetica" w:cs="Helvetica"/>
            <w:color w:val="981B1E"/>
          </w:rPr>
          <w:t>10.1371/journal.pbio.2003995</w:t>
        </w:r>
      </w:hyperlink>
      <w:r>
        <w:t>)</w:t>
      </w:r>
    </w:p>
    <w:p w14:paraId="569DBCEB" w14:textId="77777777" w:rsidR="00EA2F7C" w:rsidRPr="00364AFC" w:rsidRDefault="00EA2F7C" w:rsidP="00EA2F7C">
      <w:pPr>
        <w:autoSpaceDE w:val="0"/>
        <w:autoSpaceDN w:val="0"/>
        <w:adjustRightInd w:val="0"/>
        <w:spacing w:after="0" w:line="240" w:lineRule="auto"/>
        <w:rPr>
          <w:rFonts w:ascii="AdvTT4dbafa8d" w:hAnsi="AdvTT4dbafa8d" w:cs="AdvTT4dbafa8d"/>
          <w:sz w:val="18"/>
          <w:szCs w:val="18"/>
        </w:rPr>
      </w:pPr>
    </w:p>
    <w:p w14:paraId="7C6568AC"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r>
        <w:rPr>
          <w:rFonts w:ascii="MyriadPro-Regular" w:hAnsi="MyriadPro-Regular" w:cs="MyriadPro-Regular"/>
          <w:sz w:val="23"/>
          <w:szCs w:val="23"/>
        </w:rPr>
        <w:t xml:space="preserve"> </w:t>
      </w:r>
      <w:r w:rsidRPr="00364AFC">
        <w:rPr>
          <w:rFonts w:ascii="MyriadPro-Regular" w:hAnsi="MyriadPro-Regular" w:cs="MyriadPro-Regular"/>
          <w:sz w:val="23"/>
          <w:szCs w:val="23"/>
        </w:rPr>
        <w:t>1991,</w:t>
      </w:r>
      <w:r>
        <w:rPr>
          <w:rFonts w:ascii="MyriadPro-Regular" w:hAnsi="MyriadPro-Regular" w:cs="MyriadPro-Regular"/>
          <w:sz w:val="23"/>
          <w:szCs w:val="23"/>
        </w:rPr>
        <w:t xml:space="preserve"> </w:t>
      </w:r>
      <w:r w:rsidRPr="00364AFC">
        <w:rPr>
          <w:rFonts w:ascii="MyriadPro-Regular" w:hAnsi="MyriadPro-Regular" w:cs="MyriadPro-Regular"/>
          <w:sz w:val="23"/>
          <w:szCs w:val="23"/>
        </w:rPr>
        <w:t>physicists</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mathematician</w:t>
      </w:r>
      <w:r>
        <w:rPr>
          <w:rFonts w:ascii="MyriadPro-Regular" w:hAnsi="MyriadPro-Regular" w:cs="MyriadPro-Regular"/>
          <w:sz w:val="23"/>
          <w:szCs w:val="23"/>
        </w:rPr>
        <w:t xml:space="preserve"> </w:t>
      </w:r>
      <w:r w:rsidRPr="00364AFC">
        <w:rPr>
          <w:rFonts w:ascii="MyriadPro-Regular" w:hAnsi="MyriadPro-Regular" w:cs="MyriadPro-Regular"/>
          <w:sz w:val="23"/>
          <w:szCs w:val="23"/>
        </w:rPr>
        <w:t>s</w:t>
      </w:r>
      <w:r>
        <w:rPr>
          <w:rFonts w:ascii="MyriadPro-Regular" w:hAnsi="MyriadPro-Regular" w:cs="MyriadPro-Regular"/>
          <w:sz w:val="23"/>
          <w:szCs w:val="23"/>
        </w:rPr>
        <w:t xml:space="preserve"> </w:t>
      </w:r>
      <w:r w:rsidRPr="00364AFC">
        <w:rPr>
          <w:rFonts w:ascii="MyriadPro-Regular" w:hAnsi="MyriadPro-Regular" w:cs="MyriadPro-Regular"/>
          <w:sz w:val="23"/>
          <w:szCs w:val="23"/>
        </w:rPr>
        <w:t>have</w:t>
      </w:r>
      <w:r>
        <w:rPr>
          <w:rFonts w:ascii="MyriadPro-Regular" w:hAnsi="MyriadPro-Regular" w:cs="MyriadPro-Regular"/>
          <w:sz w:val="23"/>
          <w:szCs w:val="23"/>
        </w:rPr>
        <w:t xml:space="preserve"> </w:t>
      </w:r>
      <w:r w:rsidRPr="00364AFC">
        <w:rPr>
          <w:rFonts w:ascii="MyriadPro-Regular" w:hAnsi="MyriadPro-Regular" w:cs="MyriadPro-Regular"/>
          <w:sz w:val="23"/>
          <w:szCs w:val="23"/>
        </w:rPr>
        <w:t>been</w:t>
      </w:r>
      <w:r>
        <w:rPr>
          <w:rFonts w:ascii="MyriadPro-Regular" w:hAnsi="MyriadPro-Regular" w:cs="MyriadPro-Regular"/>
          <w:sz w:val="23"/>
          <w:szCs w:val="23"/>
        </w:rPr>
        <w:t xml:space="preserve"> </w:t>
      </w:r>
      <w:r w:rsidRPr="00364AFC">
        <w:rPr>
          <w:rFonts w:ascii="MyriadPro-Regular" w:hAnsi="MyriadPro-Regular" w:cs="MyriadPro-Regular"/>
          <w:sz w:val="23"/>
          <w:szCs w:val="23"/>
        </w:rPr>
        <w:t>using</w:t>
      </w:r>
      <w:r>
        <w:rPr>
          <w:rFonts w:ascii="MyriadPro-Regular" w:hAnsi="MyriadPro-Regular" w:cs="MyriadPro-Regular"/>
          <w:sz w:val="23"/>
          <w:szCs w:val="23"/>
        </w:rPr>
        <w:t xml:space="preserve"> </w:t>
      </w:r>
      <w:r w:rsidRPr="00364AFC">
        <w:rPr>
          <w:rFonts w:ascii="MyriadPro-Regular" w:hAnsi="MyriadPro-Regular" w:cs="MyriadPro-Regular"/>
          <w:sz w:val="23"/>
          <w:szCs w:val="23"/>
        </w:rPr>
        <w:t>the</w:t>
      </w:r>
      <w:r>
        <w:rPr>
          <w:rFonts w:ascii="MyriadPro-Regular" w:hAnsi="MyriadPro-Regular" w:cs="MyriadPro-Regular"/>
          <w:sz w:val="23"/>
          <w:szCs w:val="23"/>
        </w:rPr>
        <w:t xml:space="preserve"> </w:t>
      </w:r>
      <w:r w:rsidRPr="00364AFC">
        <w:rPr>
          <w:rFonts w:ascii="MyriadPro-Regular" w:hAnsi="MyriadPro-Regular" w:cs="MyriadPro-Regular"/>
          <w:sz w:val="23"/>
          <w:szCs w:val="23"/>
        </w:rPr>
        <w:t>arXiv</w:t>
      </w:r>
      <w:r>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Pr>
          <w:rFonts w:ascii="MyriadPro-Regular" w:hAnsi="MyriadPro-Regular" w:cs="MyriadPro-Regular"/>
          <w:sz w:val="23"/>
          <w:szCs w:val="23"/>
        </w:rPr>
        <w:t xml:space="preserve"> </w:t>
      </w:r>
      <w:r w:rsidRPr="00364AFC">
        <w:rPr>
          <w:rFonts w:ascii="MyriadPro-Regular" w:hAnsi="MyriadPro-Regular" w:cs="MyriadPro-Regular"/>
          <w:sz w:val="23"/>
          <w:szCs w:val="23"/>
        </w:rPr>
        <w:t>repository</w:t>
      </w:r>
      <w:r>
        <w:rPr>
          <w:rFonts w:ascii="MyriadPro-Regular" w:hAnsi="MyriadPro-Regular" w:cs="MyriadPro-Regular"/>
          <w:sz w:val="23"/>
          <w:szCs w:val="23"/>
        </w:rPr>
        <w:t xml:space="preserve"> </w:t>
      </w:r>
      <w:r w:rsidRPr="00364AFC">
        <w:rPr>
          <w:rFonts w:ascii="MyriadPro-Regular" w:hAnsi="MyriadPro-Regular" w:cs="MyriadPro-Regular"/>
          <w:sz w:val="23"/>
          <w:szCs w:val="23"/>
        </w:rPr>
        <w:t>to</w:t>
      </w:r>
      <w:r>
        <w:rPr>
          <w:rFonts w:ascii="MyriadPro-Regular" w:hAnsi="MyriadPro-Regular" w:cs="MyriadPro-Regular"/>
          <w:sz w:val="23"/>
          <w:szCs w:val="23"/>
        </w:rPr>
        <w:t xml:space="preserve"> </w:t>
      </w:r>
      <w:r w:rsidRPr="00364AFC">
        <w:rPr>
          <w:rFonts w:ascii="MyriadPro-Regular" w:hAnsi="MyriadPro-Regular" w:cs="MyriadPro-Regular"/>
          <w:sz w:val="23"/>
          <w:szCs w:val="23"/>
        </w:rPr>
        <w:t>circulate</w:t>
      </w:r>
      <w:r>
        <w:rPr>
          <w:rFonts w:ascii="MyriadPro-Regular" w:hAnsi="MyriadPro-Regular" w:cs="MyriadPro-Regular"/>
          <w:sz w:val="23"/>
          <w:szCs w:val="23"/>
        </w:rPr>
        <w:t xml:space="preserve"> </w:t>
      </w:r>
      <w:r w:rsidRPr="00364AFC">
        <w:rPr>
          <w:rFonts w:ascii="MyriadPro-Regular" w:hAnsi="MyriadPro-Regular" w:cs="MyriadPro-Regular"/>
          <w:sz w:val="23"/>
          <w:szCs w:val="23"/>
        </w:rPr>
        <w:t>articles</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ideas,</w:t>
      </w:r>
      <w:r>
        <w:rPr>
          <w:rFonts w:ascii="MyriadPro-Regular" w:hAnsi="MyriadPro-Regular" w:cs="MyriadPro-Regular"/>
          <w:sz w:val="23"/>
          <w:szCs w:val="23"/>
        </w:rPr>
        <w:t xml:space="preserve"> </w:t>
      </w:r>
      <w:r w:rsidRPr="00364AFC">
        <w:rPr>
          <w:rFonts w:ascii="MyriadPro-Regular" w:hAnsi="MyriadPro-Regular" w:cs="MyriadPro-Regular"/>
          <w:sz w:val="23"/>
          <w:szCs w:val="23"/>
        </w:rPr>
        <w:t>to</w:t>
      </w:r>
      <w:r>
        <w:rPr>
          <w:rFonts w:ascii="MyriadPro-Regular" w:hAnsi="MyriadPro-Regular" w:cs="MyriadPro-Regular"/>
          <w:sz w:val="23"/>
          <w:szCs w:val="23"/>
        </w:rPr>
        <w:t xml:space="preserve"> </w:t>
      </w:r>
      <w:r w:rsidRPr="00364AFC">
        <w:rPr>
          <w:rFonts w:ascii="MyriadPro-Regular" w:hAnsi="MyriadPro-Regular" w:cs="MyriadPro-Regular"/>
          <w:sz w:val="23"/>
          <w:szCs w:val="23"/>
        </w:rPr>
        <w:t>the</w:t>
      </w:r>
      <w:r>
        <w:rPr>
          <w:rFonts w:ascii="MyriadPro-Regular" w:hAnsi="MyriadPro-Regular" w:cs="MyriadPro-Regular"/>
          <w:sz w:val="23"/>
          <w:szCs w:val="23"/>
        </w:rPr>
        <w:t xml:space="preserve"> </w:t>
      </w:r>
      <w:r w:rsidRPr="00364AFC">
        <w:rPr>
          <w:rFonts w:ascii="MyriadPro-Regular" w:hAnsi="MyriadPro-Regular" w:cs="MyriadPro-Regular"/>
          <w:sz w:val="23"/>
          <w:szCs w:val="23"/>
        </w:rPr>
        <w:t>envy</w:t>
      </w:r>
      <w:r>
        <w:rPr>
          <w:rFonts w:ascii="MyriadPro-Regular" w:hAnsi="MyriadPro-Regular" w:cs="MyriadPro-Regular"/>
          <w:sz w:val="23"/>
          <w:szCs w:val="23"/>
        </w:rPr>
        <w:t xml:space="preserve"> </w:t>
      </w:r>
      <w:r w:rsidRPr="00364AFC">
        <w:rPr>
          <w:rFonts w:ascii="MyriadPro-Regular" w:hAnsi="MyriadPro-Regular" w:cs="MyriadPro-Regular"/>
          <w:sz w:val="23"/>
          <w:szCs w:val="23"/>
        </w:rPr>
        <w:t>of</w:t>
      </w:r>
      <w:r>
        <w:rPr>
          <w:rFonts w:ascii="MyriadPro-Regular" w:hAnsi="MyriadPro-Regular" w:cs="MyriadPro-Regular"/>
          <w:sz w:val="23"/>
          <w:szCs w:val="23"/>
        </w:rPr>
        <w:t xml:space="preserve"> </w:t>
      </w:r>
      <w:r w:rsidRPr="00364AFC">
        <w:rPr>
          <w:rFonts w:ascii="MyriadPro-Regular" w:hAnsi="MyriadPro-Regular" w:cs="MyriadPro-Regular"/>
          <w:sz w:val="23"/>
          <w:szCs w:val="23"/>
        </w:rPr>
        <w:t>many</w:t>
      </w:r>
      <w:r>
        <w:rPr>
          <w:rFonts w:ascii="MyriadPro-Regular" w:hAnsi="MyriadPro-Regular" w:cs="MyriadPro-Regular"/>
          <w:sz w:val="23"/>
          <w:szCs w:val="23"/>
        </w:rPr>
        <w:t xml:space="preserve"> </w:t>
      </w:r>
      <w:r w:rsidRPr="00364AFC">
        <w:rPr>
          <w:rFonts w:ascii="MyriadPro-Regular" w:hAnsi="MyriadPro-Regular" w:cs="MyriadPro-Regular"/>
          <w:sz w:val="23"/>
          <w:szCs w:val="23"/>
        </w:rPr>
        <w:t>biologists.</w:t>
      </w:r>
      <w:r>
        <w:rPr>
          <w:rFonts w:ascii="MyriadPro-Regular" w:hAnsi="MyriadPro-Regular" w:cs="MyriadPro-Regular"/>
          <w:sz w:val="23"/>
          <w:szCs w:val="23"/>
        </w:rPr>
        <w:t xml:space="preserve"> </w:t>
      </w:r>
      <w:r w:rsidRPr="00364AFC">
        <w:rPr>
          <w:rFonts w:ascii="MyriadPro-Regular" w:hAnsi="MyriadPro-Regular" w:cs="MyriadPro-Regular"/>
          <w:sz w:val="23"/>
          <w:szCs w:val="23"/>
        </w:rPr>
        <w:t>Afte</w:t>
      </w:r>
      <w:r>
        <w:rPr>
          <w:rFonts w:ascii="MyriadPro-Regular" w:hAnsi="MyriadPro-Regular" w:cs="MyriadPro-Regular"/>
          <w:sz w:val="23"/>
          <w:szCs w:val="23"/>
        </w:rPr>
        <w:t xml:space="preserve"> </w:t>
      </w:r>
      <w:r w:rsidRPr="00364AFC">
        <w:rPr>
          <w:rFonts w:ascii="MyriadPro-Regular" w:hAnsi="MyriadPro-Regular" w:cs="MyriadPro-Regular"/>
          <w:sz w:val="23"/>
          <w:szCs w:val="23"/>
        </w:rPr>
        <w:t>rnumber</w:t>
      </w:r>
      <w:r>
        <w:rPr>
          <w:rFonts w:ascii="MyriadPro-Regular" w:hAnsi="MyriadPro-Regular" w:cs="MyriadPro-Regular"/>
          <w:sz w:val="23"/>
          <w:szCs w:val="23"/>
        </w:rPr>
        <w:t xml:space="preserve"> </w:t>
      </w:r>
      <w:r w:rsidRPr="00364AFC">
        <w:rPr>
          <w:rFonts w:ascii="MyriadPro-Regular" w:hAnsi="MyriadPro-Regular" w:cs="MyriadPro-Regular"/>
          <w:sz w:val="23"/>
          <w:szCs w:val="23"/>
        </w:rPr>
        <w:t>of</w:t>
      </w:r>
      <w:r>
        <w:rPr>
          <w:rFonts w:ascii="MyriadPro-Regular" w:hAnsi="MyriadPro-Regular" w:cs="MyriadPro-Regular"/>
          <w:sz w:val="23"/>
          <w:szCs w:val="23"/>
        </w:rPr>
        <w:t xml:space="preserve"> </w:t>
      </w:r>
      <w:r w:rsidRPr="00364AFC">
        <w:rPr>
          <w:rFonts w:ascii="MyriadPro-Regular" w:hAnsi="MyriadPro-Regular" w:cs="MyriadPro-Regular"/>
          <w:sz w:val="23"/>
          <w:szCs w:val="23"/>
        </w:rPr>
        <w:t>failed</w:t>
      </w:r>
      <w:r>
        <w:rPr>
          <w:rFonts w:ascii="MyriadPro-Regular" w:hAnsi="MyriadPro-Regular" w:cs="MyriadPro-Regular"/>
          <w:sz w:val="23"/>
          <w:szCs w:val="23"/>
        </w:rPr>
        <w:t xml:space="preserve"> </w:t>
      </w:r>
      <w:r w:rsidRPr="00364AFC">
        <w:rPr>
          <w:rFonts w:ascii="MyriadPro-Regular" w:hAnsi="MyriadPro-Regular" w:cs="MyriadPro-Regular"/>
          <w:sz w:val="23"/>
          <w:szCs w:val="23"/>
        </w:rPr>
        <w:t>attempts,</w:t>
      </w:r>
      <w:r>
        <w:rPr>
          <w:rFonts w:ascii="MyriadPro-Regular" w:hAnsi="MyriadPro-Regular" w:cs="MyriadPro-Regular"/>
          <w:sz w:val="23"/>
          <w:szCs w:val="23"/>
        </w:rPr>
        <w:t xml:space="preserve"> </w:t>
      </w:r>
      <w:r w:rsidRPr="00364AFC">
        <w:rPr>
          <w:rFonts w:ascii="MyriadPro-Regular" w:hAnsi="MyriadPro-Regular" w:cs="MyriadPro-Regular"/>
          <w:sz w:val="23"/>
          <w:szCs w:val="23"/>
        </w:rPr>
        <w:t>including</w:t>
      </w:r>
      <w:r>
        <w:rPr>
          <w:rFonts w:ascii="MyriadPro-Regular" w:hAnsi="MyriadPro-Regular" w:cs="MyriadPro-Regular"/>
          <w:sz w:val="23"/>
          <w:szCs w:val="23"/>
        </w:rPr>
        <w:t xml:space="preserve"> </w:t>
      </w:r>
      <w:r w:rsidRPr="00364AFC">
        <w:rPr>
          <w:rFonts w:ascii="MyriadPro-Regular" w:hAnsi="MyriadPro-Regular" w:cs="MyriadPro-Regular"/>
          <w:sz w:val="23"/>
          <w:szCs w:val="23"/>
        </w:rPr>
        <w:t>ClinMedNetprints(1999–2005)</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NaturePrecedings(2007–2012),2 biology</w:t>
      </w:r>
      <w:r>
        <w:rPr>
          <w:rFonts w:ascii="MyriadPro-Regular" w:hAnsi="MyriadPro-Regular" w:cs="MyriadPro-Regular"/>
          <w:sz w:val="23"/>
          <w:szCs w:val="23"/>
        </w:rPr>
        <w:t xml:space="preserve"> </w:t>
      </w:r>
      <w:r w:rsidRPr="00364AFC">
        <w:rPr>
          <w:rFonts w:ascii="MyriadPro-Regular" w:hAnsi="MyriadPro-Regular" w:cs="MyriadPro-Regular"/>
          <w:sz w:val="23"/>
          <w:szCs w:val="23"/>
        </w:rPr>
        <w:t>prerint</w:t>
      </w:r>
      <w:r>
        <w:rPr>
          <w:rFonts w:ascii="MyriadPro-Regular" w:hAnsi="MyriadPro-Regular" w:cs="MyriadPro-Regular"/>
          <w:sz w:val="23"/>
          <w:szCs w:val="23"/>
        </w:rPr>
        <w:t xml:space="preserve"> </w:t>
      </w:r>
      <w:r w:rsidRPr="00364AFC">
        <w:rPr>
          <w:rFonts w:ascii="MyriadPro-Regular" w:hAnsi="MyriadPro-Regular" w:cs="MyriadPro-Regular"/>
          <w:sz w:val="23"/>
          <w:szCs w:val="23"/>
        </w:rPr>
        <w:t>servers</w:t>
      </w:r>
      <w:r>
        <w:rPr>
          <w:rFonts w:ascii="MyriadPro-Regular" w:hAnsi="MyriadPro-Regular" w:cs="MyriadPro-Regular"/>
          <w:sz w:val="23"/>
          <w:szCs w:val="23"/>
        </w:rPr>
        <w:t xml:space="preserve"> </w:t>
      </w:r>
      <w:r w:rsidRPr="00364AFC">
        <w:rPr>
          <w:rFonts w:ascii="MyriadPro-Regular" w:hAnsi="MyriadPro-Regular" w:cs="MyriadPro-Regular"/>
          <w:sz w:val="23"/>
          <w:szCs w:val="23"/>
        </w:rPr>
        <w:t>were</w:t>
      </w:r>
      <w:r>
        <w:rPr>
          <w:rFonts w:ascii="MyriadPro-Regular" w:hAnsi="MyriadPro-Regular" w:cs="MyriadPro-Regular"/>
          <w:sz w:val="23"/>
          <w:szCs w:val="23"/>
        </w:rPr>
        <w:t xml:space="preserve"> </w:t>
      </w:r>
      <w:r w:rsidRPr="00364AFC">
        <w:rPr>
          <w:rFonts w:ascii="MyriadPro-Regular" w:hAnsi="MyriadPro-Regular" w:cs="MyriadPro-Regular"/>
          <w:sz w:val="23"/>
          <w:szCs w:val="23"/>
        </w:rPr>
        <w:t>launched</w:t>
      </w:r>
      <w:r>
        <w:rPr>
          <w:rFonts w:ascii="MyriadPro-Regular" w:hAnsi="MyriadPro-Regular" w:cs="MyriadPro-Regular"/>
          <w:sz w:val="23"/>
          <w:szCs w:val="23"/>
        </w:rPr>
        <w:t xml:space="preserve"> </w:t>
      </w:r>
      <w:r w:rsidRPr="00364AFC">
        <w:rPr>
          <w:rFonts w:ascii="MyriadPro-Regular" w:hAnsi="MyriadPro-Regular" w:cs="MyriadPro-Regular"/>
          <w:sz w:val="23"/>
          <w:szCs w:val="23"/>
        </w:rPr>
        <w:t>in</w:t>
      </w:r>
      <w:r>
        <w:rPr>
          <w:rFonts w:ascii="MyriadPro-Regular" w:hAnsi="MyriadPro-Regular" w:cs="MyriadPro-Regular"/>
          <w:sz w:val="23"/>
          <w:szCs w:val="23"/>
        </w:rPr>
        <w:t xml:space="preserve"> </w:t>
      </w:r>
      <w:r w:rsidRPr="00364AFC">
        <w:rPr>
          <w:rFonts w:ascii="MyriadPro-Regular" w:hAnsi="MyriadPro-Regular" w:cs="MyriadPro-Regular"/>
          <w:sz w:val="23"/>
          <w:szCs w:val="23"/>
        </w:rPr>
        <w:t>2013—Peer</w:t>
      </w:r>
      <w:r>
        <w:rPr>
          <w:rFonts w:ascii="MyriadPro-Regular" w:hAnsi="MyriadPro-Regular" w:cs="MyriadPro-Regular"/>
          <w:sz w:val="23"/>
          <w:szCs w:val="23"/>
        </w:rPr>
        <w:t xml:space="preserve"> </w:t>
      </w:r>
      <w:r w:rsidRPr="00364AFC">
        <w:rPr>
          <w:rFonts w:ascii="MyriadPro-Regular" w:hAnsi="MyriadPro-Regular" w:cs="MyriadPro-Regular"/>
          <w:sz w:val="23"/>
          <w:szCs w:val="23"/>
        </w:rPr>
        <w:t>J</w:t>
      </w:r>
      <w:r>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Pr>
          <w:rFonts w:ascii="MyriadPro-Regular" w:hAnsi="MyriadPro-Regular" w:cs="MyriadPro-Regular"/>
          <w:sz w:val="23"/>
          <w:szCs w:val="23"/>
        </w:rPr>
        <w:t xml:space="preserve"> </w:t>
      </w:r>
      <w:r w:rsidRPr="00364AFC">
        <w:rPr>
          <w:rFonts w:ascii="MyriadPro-Regular" w:hAnsi="MyriadPro-Regular" w:cs="MyriadPro-Regular"/>
          <w:sz w:val="23"/>
          <w:szCs w:val="23"/>
        </w:rPr>
        <w:t>and</w:t>
      </w:r>
      <w:r>
        <w:rPr>
          <w:rFonts w:ascii="MyriadPro-Regular" w:hAnsi="MyriadPro-Regular" w:cs="MyriadPro-Regular"/>
          <w:sz w:val="23"/>
          <w:szCs w:val="23"/>
        </w:rPr>
        <w:t xml:space="preserve"> </w:t>
      </w:r>
      <w:r w:rsidRPr="00364AFC">
        <w:rPr>
          <w:rFonts w:ascii="MyriadPro-Regular" w:hAnsi="MyriadPro-Regular" w:cs="MyriadPro-Regular"/>
          <w:sz w:val="23"/>
          <w:szCs w:val="23"/>
        </w:rPr>
        <w:t>bioRxiv</w:t>
      </w:r>
      <w:r>
        <w:rPr>
          <w:rFonts w:ascii="MyriadPro-Regular" w:hAnsi="MyriadPro-Regular" w:cs="MyriadPro-Regular"/>
          <w:sz w:val="23"/>
          <w:szCs w:val="23"/>
        </w:rPr>
        <w:t xml:space="preserve"> </w:t>
      </w:r>
      <w:r w:rsidRPr="00364AFC">
        <w:rPr>
          <w:rFonts w:ascii="MyriadPro-Regular" w:hAnsi="MyriadPro-Regular" w:cs="MyriadPro-Regular"/>
          <w:sz w:val="23"/>
          <w:szCs w:val="23"/>
        </w:rPr>
        <w:t>(ColdSpringHarborLaboratory)</w:t>
      </w:r>
    </w:p>
    <w:p w14:paraId="596D7E80" w14:textId="77777777" w:rsidR="00EA2F7C" w:rsidRDefault="00EA2F7C" w:rsidP="00EA2F7C">
      <w:pPr>
        <w:autoSpaceDE w:val="0"/>
        <w:autoSpaceDN w:val="0"/>
        <w:adjustRightInd w:val="0"/>
        <w:spacing w:after="0" w:line="240" w:lineRule="auto"/>
        <w:rPr>
          <w:rFonts w:ascii="MyriadPro-Regular" w:hAnsi="MyriadPro-Regular" w:cs="MyriadPro-Regular"/>
          <w:sz w:val="23"/>
          <w:szCs w:val="23"/>
        </w:rPr>
      </w:pPr>
    </w:p>
    <w:p w14:paraId="589AE39E" w14:textId="77777777" w:rsidR="00EA2F7C" w:rsidRDefault="00EA2F7C" w:rsidP="00EA2F7C">
      <w:pPr>
        <w:autoSpaceDE w:val="0"/>
        <w:autoSpaceDN w:val="0"/>
        <w:adjustRightInd w:val="0"/>
        <w:spacing w:after="0" w:line="360" w:lineRule="auto"/>
        <w:jc w:val="both"/>
        <w:rPr>
          <w:rFonts w:ascii="Arial" w:hAnsi="Arial" w:cs="Arial"/>
          <w:color w:val="00B0F0"/>
          <w:sz w:val="20"/>
          <w:szCs w:val="20"/>
        </w:rPr>
      </w:pPr>
    </w:p>
    <w:p w14:paraId="491B0C8C" w14:textId="77777777" w:rsidR="00EA2F7C" w:rsidRDefault="00EA2F7C" w:rsidP="00EA2F7C">
      <w:pPr>
        <w:autoSpaceDE w:val="0"/>
        <w:autoSpaceDN w:val="0"/>
        <w:adjustRightInd w:val="0"/>
        <w:spacing w:after="0" w:line="360" w:lineRule="auto"/>
        <w:jc w:val="both"/>
        <w:rPr>
          <w:rFonts w:ascii="Arial" w:hAnsi="Arial" w:cs="Arial"/>
          <w:sz w:val="20"/>
          <w:szCs w:val="20"/>
        </w:rPr>
      </w:pPr>
    </w:p>
    <w:p w14:paraId="2DBD4322" w14:textId="77777777" w:rsidR="00EA2F7C" w:rsidRDefault="00EA2F7C" w:rsidP="00EA2F7C"/>
    <w:p w14:paraId="50C534E2" w14:textId="77777777" w:rsidR="00EA2F7C" w:rsidRDefault="00EA2F7C" w:rsidP="00EA2F7C">
      <w:r w:rsidRPr="00BC15D3">
        <w:t xml:space="preserve">One of  the  first  in  this  new  wave  was  the  discipline-based  server, bioRxiv  –  set  up  by  the  Cold  Spring  Harbor  Laboratory  in  2013 to  cover  the  life  sciences  –  which  has  been  a  focus  of  discus-sion  and  debate  (Abdill  &amp;Blekhman,  2019; Luther,  2017; Vale, 2015). However,  there  are  a  considerable  number  of  other  disci-plinary  servers,  including  several  set  up  by  the  Center  for  Open Science,   such   as   SocArXiv,   engrXiv   and   PsyArXiv   (all   of which  were  launched  in  2016),  as  well  as  platforms  such  as ESSOAr,  set  up  by  the  American  Geophysical  Union  in  2018. At  the  same  time,  national  servers  have  been  launched,  includ-ingChinaXiv   (for   China),   IndiaRxiv   (for   India)   and   INA-Rxiv  (Indonesia)  (Mallapaty,  2019). Funders  of  research  have also  set  up  platforms  that  enable  the  sharing  of  articles  before peer-review,   including,   in   2016,   Wellcome   Open   Research, for   Wellcome-funded   researchers.   In   addition,   a   number   of journal   publishers   have   added   the   dissemination   of </w:t>
      </w:r>
      <w:r>
        <w:t>pre</w:t>
      </w:r>
      <w:r w:rsidRPr="00BC15D3">
        <w:t xml:space="preserve">prints to   their   workflows.   The   open   access   (OA)   publisher,   PeerJ, began  offering </w:t>
      </w:r>
      <w:r>
        <w:t>preprint</w:t>
      </w:r>
      <w:r w:rsidRPr="00BC15D3">
        <w:t xml:space="preserve"> services  in  2013,  MDPI  in  2016  and Cambridge  University  Press  in  2019. Whilst  the  first  of  these has  now  closed  its  server,  significantly  it  cites  its  reason  for doing  so  as  the  change  in  the </w:t>
      </w:r>
      <w:r>
        <w:t>pre-prints</w:t>
      </w:r>
      <w:r w:rsidRPr="00BC15D3">
        <w:t xml:space="preserve"> landscape  between  2013 and  2019: </w:t>
      </w:r>
      <w:r>
        <w:t>"</w:t>
      </w:r>
      <w:r w:rsidRPr="00BC15D3">
        <w:t xml:space="preserve">the  academic  community  is  now  well-served  with other </w:t>
      </w:r>
      <w:r>
        <w:t>preprint</w:t>
      </w:r>
      <w:r w:rsidRPr="00BC15D3">
        <w:t xml:space="preserve"> venue  options</w:t>
      </w:r>
      <w:r>
        <w:t>"</w:t>
      </w:r>
      <w:r w:rsidRPr="00BC15D3">
        <w:t xml:space="preserve"> (PeerJ,  2019). A  number  of  jour-nals,   primarily   in   biomedical   sciences,   have   </w:t>
      </w:r>
      <w:r w:rsidRPr="00BC15D3">
        <w:lastRenderedPageBreak/>
        <w:t xml:space="preserve">adopted   a   dif-ferent   model,   and   now   deposit   submissions   from   authors   in bioRxiv  on  behalfof  authors  (where  the  author  agrees  to  this). Journals   practising   this   model   in   bioRxiv   include Proceed-ings  of  the  National  Academy  of  Sciences  (PNAS),  titles  pub-lished   by   PLOS   and   many   published   by   Frontiers   (bioRxiv, n.d.). The F1000Research  publishing  platform  has  promoted  anovel  publication  model  involving </w:t>
      </w:r>
      <w:r>
        <w:t>pre</w:t>
      </w:r>
      <w:r w:rsidRPr="00BC15D3">
        <w:t xml:space="preserve">prints,  in  which  immedi-ate  release  of  author  submissions  as </w:t>
      </w:r>
      <w:r>
        <w:t>preprints</w:t>
      </w:r>
      <w:r w:rsidRPr="00BC15D3">
        <w:t xml:space="preserve"> is  followed  byopen    peer    review,    with    revised    versions    of    a    paper(alongside  author  responses  to  reviewer  comments)  published in the journal as they are made</w:t>
      </w:r>
      <w:r>
        <w:t>.</w:t>
      </w:r>
    </w:p>
    <w:p w14:paraId="388AB185" w14:textId="77777777" w:rsidR="00EA2F7C" w:rsidRDefault="00EA2F7C" w:rsidP="00EA2F7C">
      <w:pPr>
        <w:rPr>
          <w:b/>
        </w:rPr>
      </w:pPr>
      <w:r w:rsidRPr="0068309A">
        <w:rPr>
          <w:b/>
        </w:rPr>
        <w:t xml:space="preserve">Previuos Studies </w:t>
      </w:r>
    </w:p>
    <w:p w14:paraId="3BC918FA" w14:textId="77777777" w:rsidR="00EA2F7C" w:rsidRPr="0081678C" w:rsidRDefault="00EA2F7C" w:rsidP="00EA2F7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2CD00A9C" w14:textId="77777777" w:rsidR="00EA2F7C" w:rsidRDefault="00EA2F7C" w:rsidP="00EA2F7C">
      <w:pPr>
        <w:pStyle w:val="Heading5"/>
        <w:shd w:val="clear" w:color="auto" w:fill="FFFFFF"/>
        <w:spacing w:before="0" w:beforeAutospacing="0"/>
        <w:rPr>
          <w:b w:val="0"/>
          <w:bCs w:val="0"/>
          <w:color w:val="212529"/>
        </w:rPr>
      </w:pPr>
      <w:r>
        <w:rPr>
          <w:b w:val="0"/>
          <w:bCs w:val="0"/>
          <w:color w:val="212529"/>
        </w:rPr>
        <w:t>John Wiley</w:t>
      </w:r>
    </w:p>
    <w:p w14:paraId="4433C9B4" w14:textId="77777777" w:rsidR="00EA2F7C" w:rsidRDefault="00EA2F7C" w:rsidP="00EA2F7C">
      <w:pPr>
        <w:pStyle w:val="Heading5"/>
        <w:shd w:val="clear" w:color="auto" w:fill="FFFFFF"/>
        <w:spacing w:before="0" w:beforeAutospacing="0"/>
        <w:rPr>
          <w:b w:val="0"/>
          <w:bCs w:val="0"/>
          <w:color w:val="212529"/>
        </w:rPr>
      </w:pPr>
      <w:r>
        <w:rPr>
          <w:b w:val="0"/>
          <w:bCs w:val="0"/>
          <w:color w:val="212529"/>
        </w:rPr>
        <w:t>Karger </w:t>
      </w:r>
    </w:p>
    <w:p w14:paraId="11CDDFBA" w14:textId="77777777" w:rsidR="00EA2F7C" w:rsidRDefault="00EA2F7C" w:rsidP="00EA2F7C">
      <w:pPr>
        <w:pStyle w:val="Heading5"/>
        <w:shd w:val="clear" w:color="auto" w:fill="FFFFFF"/>
        <w:spacing w:before="0" w:beforeAutospacing="0"/>
        <w:rPr>
          <w:b w:val="0"/>
          <w:bCs w:val="0"/>
          <w:color w:val="212529"/>
        </w:rPr>
      </w:pPr>
      <w:r>
        <w:rPr>
          <w:b w:val="0"/>
          <w:bCs w:val="0"/>
          <w:color w:val="212529"/>
        </w:rPr>
        <w:t>SAGE </w:t>
      </w:r>
    </w:p>
    <w:p w14:paraId="220C942D" w14:textId="77777777" w:rsidR="00EA2F7C" w:rsidRDefault="00EA2F7C" w:rsidP="00EA2F7C">
      <w:pPr>
        <w:pStyle w:val="Heading5"/>
        <w:shd w:val="clear" w:color="auto" w:fill="FFFFFF"/>
        <w:spacing w:before="0" w:beforeAutospacing="0"/>
        <w:rPr>
          <w:b w:val="0"/>
          <w:bCs w:val="0"/>
          <w:color w:val="212529"/>
        </w:rPr>
      </w:pPr>
      <w:r>
        <w:rPr>
          <w:b w:val="0"/>
          <w:bCs w:val="0"/>
          <w:color w:val="212529"/>
        </w:rPr>
        <w:t>Springer </w:t>
      </w:r>
    </w:p>
    <w:p w14:paraId="579D3F43" w14:textId="77777777" w:rsidR="00EA2F7C" w:rsidRDefault="00EA2F7C" w:rsidP="00EA2F7C">
      <w:pPr>
        <w:pStyle w:val="Heading5"/>
        <w:shd w:val="clear" w:color="auto" w:fill="FFFFFF"/>
        <w:spacing w:before="0" w:beforeAutospacing="0"/>
        <w:rPr>
          <w:b w:val="0"/>
          <w:bCs w:val="0"/>
          <w:color w:val="212529"/>
        </w:rPr>
      </w:pPr>
      <w:r>
        <w:rPr>
          <w:b w:val="0"/>
          <w:bCs w:val="0"/>
          <w:color w:val="212529"/>
        </w:rPr>
        <w:t>Taylor &amp; Francis</w:t>
      </w:r>
    </w:p>
    <w:p w14:paraId="4690E107" w14:textId="77777777" w:rsidR="00EA2F7C" w:rsidRDefault="00EA2F7C" w:rsidP="00EA2F7C">
      <w:pPr>
        <w:pStyle w:val="Heading5"/>
        <w:shd w:val="clear" w:color="auto" w:fill="FFFFFF"/>
        <w:spacing w:before="0" w:beforeAutospacing="0"/>
        <w:rPr>
          <w:b w:val="0"/>
          <w:bCs w:val="0"/>
          <w:color w:val="212529"/>
        </w:rPr>
      </w:pPr>
      <w:r>
        <w:rPr>
          <w:b w:val="0"/>
          <w:bCs w:val="0"/>
          <w:color w:val="212529"/>
        </w:rPr>
        <w:t>Wolters Kluwer Health - Lippincott Williams &amp; Wilkins</w:t>
      </w:r>
    </w:p>
    <w:p w14:paraId="3F15B4C4" w14:textId="77777777" w:rsidR="00EA2F7C" w:rsidRDefault="00EA2F7C"/>
    <w:sectPr w:rsidR="00EA2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dvOT46dcae81">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EE"/>
    <w:family w:val="swiss"/>
    <w:notTrueType/>
    <w:pitch w:val="default"/>
    <w:sig w:usb0="00000005" w:usb1="00000000" w:usb2="00000000" w:usb3="00000000" w:csb0="00000002"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Roboto">
    <w:altName w:val="Roboto"/>
    <w:charset w:val="00"/>
    <w:family w:val="auto"/>
    <w:pitch w:val="variable"/>
    <w:sig w:usb0="E00002FF" w:usb1="5000205B" w:usb2="00000020" w:usb3="00000000" w:csb0="0000019F" w:csb1="00000000"/>
  </w:font>
  <w:font w:name="Open Sans">
    <w:altName w:val="Open Sans"/>
    <w:charset w:val="00"/>
    <w:family w:val="swiss"/>
    <w:pitch w:val="variable"/>
    <w:sig w:usb0="E00002EF" w:usb1="4000205B" w:usb2="00000028"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tTQzMzcztzQ0sTRW0lEKTi0uzszPAykwrAUAoFdm+SwAAAA="/>
  </w:docVars>
  <w:rsids>
    <w:rsidRoot w:val="00EA2F7C"/>
    <w:rsid w:val="00EA2F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D836"/>
  <w15:chartTrackingRefBased/>
  <w15:docId w15:val="{FFBE843E-FEEF-4B4C-9178-075A39AE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7C"/>
  </w:style>
  <w:style w:type="paragraph" w:styleId="Heading1">
    <w:name w:val="heading 1"/>
    <w:basedOn w:val="Normal"/>
    <w:next w:val="Normal"/>
    <w:link w:val="Heading1Char"/>
    <w:uiPriority w:val="9"/>
    <w:qFormat/>
    <w:rsid w:val="00EA2F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EA2F7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F7C"/>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EA2F7C"/>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EA2F7C"/>
    <w:rPr>
      <w:color w:val="0000FF"/>
      <w:u w:val="single"/>
    </w:rPr>
  </w:style>
  <w:style w:type="paragraph" w:styleId="NormalWeb">
    <w:name w:val="Normal (Web)"/>
    <w:basedOn w:val="Normal"/>
    <w:uiPriority w:val="99"/>
    <w:unhideWhenUsed/>
    <w:rsid w:val="00EA2F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mdirector.nlm.nih.gov/2020/06/09/the-nih-preprint-pilot-a-new-experiment-for-a-new-er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med.ncbi.nlm.nih.gov/" TargetMode="External"/><Relationship Id="rId12" Type="http://schemas.openxmlformats.org/officeDocument/2006/relationships/hyperlink" Target="http://dx.doi.org/10.1371/journal.pbio.20039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 TargetMode="External"/><Relationship Id="rId11" Type="http://schemas.openxmlformats.org/officeDocument/2006/relationships/hyperlink" Target="https://www.responsiblesharing.org/" TargetMode="External"/><Relationship Id="rId5" Type="http://schemas.openxmlformats.org/officeDocument/2006/relationships/hyperlink" Target="https://www.ncbi.nlm.nih.gov/pmc/about/nihpreprints/" TargetMode="External"/><Relationship Id="rId10" Type="http://schemas.openxmlformats.org/officeDocument/2006/relationships/hyperlink" Target="https://www.stm-assoc.org/2015_06_08_Voluntary_principles_for_article_sharing_on_scholarly_collaboration_networks.pdf" TargetMode="External"/><Relationship Id="rId4" Type="http://schemas.openxmlformats.org/officeDocument/2006/relationships/hyperlink" Target="https://arxiv.org/" TargetMode="External"/><Relationship Id="rId9" Type="http://schemas.openxmlformats.org/officeDocument/2006/relationships/hyperlink" Target="https://nlmdirector.nlm.nih.gov/2020/06/09/the-nih-preprint-pilot-a-new-experiment-for-a-new-e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2022-09-03T06:21:00Z</dcterms:created>
  <dcterms:modified xsi:type="dcterms:W3CDTF">2022-09-03T06:21:00Z</dcterms:modified>
</cp:coreProperties>
</file>