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B8" w:rsidRDefault="00F70CB8" w:rsidP="00F70C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ITCGaramondStd-Lt" w:hAnsi="ITCGaramondStd-Lt" w:cs="ITCGaramondStd-Lt"/>
          <w:sz w:val="18"/>
          <w:szCs w:val="18"/>
        </w:rPr>
      </w:pPr>
      <w:r w:rsidRPr="00F70CB8">
        <w:rPr>
          <w:rFonts w:ascii="ITCGaramondStd-Lt" w:hAnsi="ITCGaramondStd-Lt" w:cs="ITCGaramondStd-Lt"/>
          <w:sz w:val="18"/>
          <w:szCs w:val="18"/>
        </w:rPr>
        <w:t>Can authors post the submittedversion as a preprint?</w:t>
      </w:r>
    </w:p>
    <w:p w:rsidR="00F70CB8" w:rsidRDefault="00F70CB8" w:rsidP="00F70C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TCGaramondStd-Lt" w:hAnsi="ITCGaramondStd-Lt" w:cs="ITCGaramondStd-Lt"/>
          <w:sz w:val="18"/>
          <w:szCs w:val="18"/>
        </w:rPr>
      </w:pPr>
      <w:r>
        <w:rPr>
          <w:rFonts w:ascii="ITCGaramondStd-Lt" w:hAnsi="ITCGaramondStd-Lt" w:cs="ITCGaramondStd-Lt"/>
          <w:sz w:val="18"/>
          <w:szCs w:val="18"/>
        </w:rPr>
        <w:t>Yes, at any time without any condition</w:t>
      </w:r>
    </w:p>
    <w:p w:rsidR="00F70CB8" w:rsidRDefault="00F70CB8" w:rsidP="00F70C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TCGaramondStd-Lt" w:hAnsi="ITCGaramondStd-Lt" w:cs="ITCGaramondStd-Lt"/>
          <w:sz w:val="18"/>
          <w:szCs w:val="18"/>
        </w:rPr>
      </w:pPr>
      <w:r>
        <w:rPr>
          <w:rFonts w:ascii="ITCGaramondStd-Lt" w:hAnsi="ITCGaramondStd-Lt" w:cs="ITCGaramondStd-Lt"/>
          <w:sz w:val="18"/>
          <w:szCs w:val="18"/>
        </w:rPr>
        <w:t>No, Never</w:t>
      </w:r>
    </w:p>
    <w:p w:rsidR="00F70CB8" w:rsidRDefault="00F70CB8" w:rsidP="00F70C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TCGaramondStd-Lt" w:hAnsi="ITCGaramondStd-Lt" w:cs="ITCGaramondStd-Lt"/>
          <w:sz w:val="18"/>
          <w:szCs w:val="18"/>
        </w:rPr>
      </w:pPr>
      <w:r>
        <w:rPr>
          <w:rFonts w:ascii="ITCGaramondStd-Lt" w:hAnsi="ITCGaramondStd-Lt" w:cs="ITCGaramondStd-Lt"/>
          <w:sz w:val="18"/>
          <w:szCs w:val="18"/>
        </w:rPr>
        <w:t>Yes, with an embargo period of ….</w:t>
      </w:r>
    </w:p>
    <w:p w:rsidR="00F70CB8" w:rsidRDefault="00F70CB8" w:rsidP="00F70CB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TCGaramondStd-Lt" w:hAnsi="ITCGaramondStd-Lt" w:cs="ITCGaramondStd-Lt"/>
          <w:sz w:val="18"/>
          <w:szCs w:val="18"/>
        </w:rPr>
      </w:pPr>
      <w:r>
        <w:rPr>
          <w:rFonts w:ascii="ITCGaramondStd-Lt" w:hAnsi="ITCGaramondStd-Lt" w:cs="ITCGaramondStd-Lt"/>
          <w:sz w:val="18"/>
          <w:szCs w:val="18"/>
        </w:rPr>
        <w:t>Yes, with an author declaration that …..</w:t>
      </w:r>
    </w:p>
    <w:p w:rsidR="00143686" w:rsidRDefault="00143686" w:rsidP="0014368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TCGaramondStd-Lt" w:hAnsi="ITCGaramondStd-Lt" w:cs="ITCGaramondStd-Lt"/>
          <w:sz w:val="18"/>
          <w:szCs w:val="18"/>
        </w:rPr>
      </w:pPr>
      <w:r>
        <w:rPr>
          <w:rFonts w:ascii="ITCGaramondStd-Lt" w:hAnsi="ITCGaramondStd-Lt" w:cs="ITCGaramondStd-Lt"/>
          <w:sz w:val="18"/>
          <w:szCs w:val="18"/>
        </w:rPr>
        <w:t>Journal policy is not clear</w:t>
      </w:r>
    </w:p>
    <w:p w:rsidR="001F5DEC" w:rsidRPr="00143686" w:rsidRDefault="005B74BE" w:rsidP="001436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ITCGaramondStd-Lt" w:hAnsi="ITCGaramondStd-Lt" w:cs="ITCGaramondStd-Lt"/>
          <w:sz w:val="18"/>
          <w:szCs w:val="18"/>
        </w:rPr>
      </w:pPr>
      <w:r w:rsidRPr="00143686">
        <w:rPr>
          <w:rFonts w:ascii="ITCGaramondStd-Lt" w:hAnsi="ITCGaramondStd-Lt" w:cs="ITCGaramondStd-Lt"/>
          <w:sz w:val="18"/>
          <w:szCs w:val="18"/>
        </w:rPr>
        <w:t>Can author(s) post an author-formatted accepted version</w:t>
      </w:r>
      <w:r w:rsidR="001F5DEC" w:rsidRPr="00143686">
        <w:rPr>
          <w:rFonts w:ascii="ITCGaramondStd-Lt" w:hAnsi="ITCGaramondStd-Lt" w:cs="ITCGaramondStd-Lt"/>
          <w:sz w:val="18"/>
          <w:szCs w:val="18"/>
        </w:rPr>
        <w:t>?</w:t>
      </w:r>
    </w:p>
    <w:p w:rsidR="005F0F35" w:rsidRDefault="005F0F35" w:rsidP="005F0F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ITCGaramondStd-Lt" w:hAnsi="ITCGaramondStd-Lt" w:cs="ITCGaramondStd-Lt"/>
          <w:sz w:val="18"/>
          <w:szCs w:val="18"/>
        </w:rPr>
      </w:pPr>
    </w:p>
    <w:p w:rsidR="005F0F35" w:rsidRDefault="005F0F35" w:rsidP="005F0F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ITCGaramondStd-Lt" w:hAnsi="ITCGaramondStd-Lt" w:cs="ITCGaramondStd-Lt"/>
          <w:sz w:val="18"/>
          <w:szCs w:val="18"/>
        </w:rPr>
      </w:pPr>
    </w:p>
    <w:p w:rsidR="005F0F35" w:rsidRDefault="005F0F35" w:rsidP="005F0F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ITCGaramondStd-Lt" w:hAnsi="ITCGaramondStd-Lt" w:cs="ITCGaramondStd-Lt"/>
          <w:sz w:val="18"/>
          <w:szCs w:val="18"/>
        </w:rPr>
      </w:pPr>
    </w:p>
    <w:p w:rsidR="005F0F35" w:rsidRDefault="005F0F35" w:rsidP="005F0F3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ITCGaramondStd-Lt" w:hAnsi="ITCGaramondStd-Lt" w:cs="ITCGaramondStd-Lt"/>
          <w:sz w:val="18"/>
          <w:szCs w:val="18"/>
        </w:rPr>
      </w:pPr>
    </w:p>
    <w:p w:rsidR="001F5DEC" w:rsidRDefault="001F5DEC" w:rsidP="001F5D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GaramondStd-Lt" w:hAnsi="ITCGaramondStd-Lt" w:cs="ITCGaramondStd-Lt"/>
          <w:sz w:val="18"/>
          <w:szCs w:val="18"/>
        </w:rPr>
      </w:pPr>
      <w:r>
        <w:rPr>
          <w:rFonts w:ascii="ITCGaramondStd-Lt" w:hAnsi="ITCGaramondStd-Lt" w:cs="ITCGaramondStd-Lt"/>
          <w:sz w:val="18"/>
          <w:szCs w:val="18"/>
        </w:rPr>
        <w:t>Yes, at anytime without any condition</w:t>
      </w:r>
    </w:p>
    <w:p w:rsidR="001F5DEC" w:rsidRDefault="001F5DEC" w:rsidP="001F5D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GaramondStd-Lt" w:hAnsi="ITCGaramondStd-Lt" w:cs="ITCGaramondStd-Lt"/>
          <w:sz w:val="18"/>
          <w:szCs w:val="18"/>
        </w:rPr>
      </w:pPr>
      <w:r>
        <w:rPr>
          <w:rFonts w:ascii="ITCGaramondStd-Lt" w:hAnsi="ITCGaramondStd-Lt" w:cs="ITCGaramondStd-Lt"/>
          <w:sz w:val="18"/>
          <w:szCs w:val="18"/>
        </w:rPr>
        <w:t>Yes, with a condition that….</w:t>
      </w:r>
    </w:p>
    <w:p w:rsidR="004A559B" w:rsidRDefault="004A559B" w:rsidP="004A559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ITCGaramondStd-Lt" w:hAnsi="ITCGaramondStd-Lt" w:cs="ITCGaramondStd-Lt"/>
          <w:sz w:val="18"/>
          <w:szCs w:val="18"/>
        </w:rPr>
      </w:pPr>
      <w:r w:rsidRPr="004A559B">
        <w:rPr>
          <w:rFonts w:ascii="ITCGaramondStd-Lt" w:hAnsi="ITCGaramondStd-Lt" w:cs="ITCGaramondStd-Lt"/>
          <w:sz w:val="18"/>
          <w:szCs w:val="18"/>
        </w:rPr>
        <w:t>update the document</w:t>
      </w:r>
      <w:r>
        <w:rPr>
          <w:rFonts w:ascii="ITCGaramondStd-Lt" w:hAnsi="ITCGaramondStd-Lt" w:cs="ITCGaramondStd-Lt"/>
          <w:sz w:val="18"/>
          <w:szCs w:val="18"/>
        </w:rPr>
        <w:t>with a full citation to the published version, including a DOI</w:t>
      </w:r>
    </w:p>
    <w:p w:rsidR="004A559B" w:rsidRDefault="004A559B" w:rsidP="004A559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ITCGaramondStd-Lt" w:hAnsi="ITCGaramondStd-Lt" w:cs="ITCGaramondStd-Lt"/>
          <w:sz w:val="18"/>
          <w:szCs w:val="18"/>
        </w:rPr>
      </w:pPr>
    </w:p>
    <w:p w:rsidR="001F5DEC" w:rsidRDefault="001F5DEC" w:rsidP="001F5D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ITCGaramondStd-Lt" w:hAnsi="ITCGaramondStd-Lt" w:cs="ITCGaramondStd-Lt"/>
          <w:sz w:val="18"/>
          <w:szCs w:val="18"/>
        </w:rPr>
      </w:pPr>
      <w:r>
        <w:rPr>
          <w:rFonts w:ascii="ITCGaramondStd-Lt" w:hAnsi="ITCGaramondStd-Lt" w:cs="ITCGaramondStd-Lt"/>
          <w:sz w:val="18"/>
          <w:szCs w:val="18"/>
        </w:rPr>
        <w:t>No, never</w:t>
      </w:r>
    </w:p>
    <w:p w:rsidR="001F5DEC" w:rsidRDefault="001F5DEC" w:rsidP="004A559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ITCGaramondStd-Lt" w:hAnsi="ITCGaramondStd-Lt" w:cs="ITCGaramondStd-Lt"/>
          <w:sz w:val="18"/>
          <w:szCs w:val="18"/>
        </w:rPr>
      </w:pPr>
      <w:r w:rsidRPr="00143686">
        <w:rPr>
          <w:rFonts w:ascii="ITCGaramondStd-Lt" w:hAnsi="ITCGaramondStd-Lt" w:cs="ITCGaramondStd-Lt"/>
          <w:sz w:val="18"/>
          <w:szCs w:val="18"/>
        </w:rPr>
        <w:t xml:space="preserve">Journal policy is not clear </w:t>
      </w:r>
    </w:p>
    <w:p w:rsidR="004A559B" w:rsidRDefault="005F2E09" w:rsidP="005F2E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ITCGaramondStd-Lt" w:hAnsi="ITCGaramondStd-Lt" w:cs="ITCGaramondStd-Lt"/>
          <w:sz w:val="18"/>
          <w:szCs w:val="18"/>
        </w:rPr>
      </w:pPr>
      <w:r>
        <w:rPr>
          <w:rFonts w:ascii="ITCGaramondStd-Lt" w:hAnsi="ITCGaramondStd-Lt" w:cs="ITCGaramondStd-Lt"/>
          <w:sz w:val="18"/>
          <w:szCs w:val="18"/>
        </w:rPr>
        <w:t>The preprints can be deposited in</w:t>
      </w:r>
    </w:p>
    <w:p w:rsidR="004A559B" w:rsidRPr="005F2E09" w:rsidRDefault="004A559B" w:rsidP="005F2E09">
      <w:pPr>
        <w:autoSpaceDE w:val="0"/>
        <w:autoSpaceDN w:val="0"/>
        <w:adjustRightInd w:val="0"/>
        <w:spacing w:after="0" w:line="240" w:lineRule="auto"/>
        <w:rPr>
          <w:rFonts w:ascii="ITCGaramondStd-Lt" w:hAnsi="ITCGaramondStd-Lt" w:cs="ITCGaramondStd-Lt"/>
          <w:sz w:val="18"/>
          <w:szCs w:val="18"/>
        </w:rPr>
      </w:pPr>
    </w:p>
    <w:p w:rsidR="004A559B" w:rsidRDefault="005F2E09" w:rsidP="005F2E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GaramondStd-Lt" w:hAnsi="ITCGaramondStd-Lt" w:cs="ITCGaramondStd-Lt"/>
          <w:sz w:val="18"/>
          <w:szCs w:val="18"/>
        </w:rPr>
      </w:pPr>
      <w:r>
        <w:rPr>
          <w:rFonts w:ascii="ITCGaramondStd-Lt" w:hAnsi="ITCGaramondStd-Lt" w:cs="ITCGaramondStd-Lt"/>
          <w:sz w:val="18"/>
          <w:szCs w:val="18"/>
        </w:rPr>
        <w:t>Preprint servers</w:t>
      </w:r>
    </w:p>
    <w:p w:rsidR="005F2E09" w:rsidRDefault="005F2E09" w:rsidP="005F2E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GaramondStd-Lt" w:hAnsi="ITCGaramondStd-Lt" w:cs="ITCGaramondStd-Lt"/>
          <w:sz w:val="18"/>
          <w:szCs w:val="18"/>
        </w:rPr>
      </w:pPr>
      <w:r>
        <w:rPr>
          <w:rFonts w:ascii="ITCGaramondStd-Lt" w:hAnsi="ITCGaramondStd-Lt" w:cs="ITCGaramondStd-Lt"/>
          <w:sz w:val="18"/>
          <w:szCs w:val="18"/>
        </w:rPr>
        <w:t>Institutional repositories</w:t>
      </w:r>
    </w:p>
    <w:p w:rsidR="005F2E09" w:rsidRDefault="005F2E09" w:rsidP="005F2E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GaramondStd-Lt" w:hAnsi="ITCGaramondStd-Lt" w:cs="ITCGaramondStd-Lt"/>
          <w:sz w:val="18"/>
          <w:szCs w:val="18"/>
        </w:rPr>
      </w:pPr>
      <w:r>
        <w:rPr>
          <w:rFonts w:ascii="ITCGaramondStd-Lt" w:hAnsi="ITCGaramondStd-Lt" w:cs="ITCGaramondStd-Lt"/>
          <w:sz w:val="18"/>
          <w:szCs w:val="18"/>
        </w:rPr>
        <w:t>Degree granting organizations</w:t>
      </w:r>
    </w:p>
    <w:p w:rsidR="005F2E09" w:rsidRDefault="005F2E09" w:rsidP="005F2E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GaramondStd-Lt" w:hAnsi="ITCGaramondStd-Lt" w:cs="ITCGaramondStd-Lt"/>
          <w:sz w:val="18"/>
          <w:szCs w:val="18"/>
        </w:rPr>
      </w:pPr>
      <w:r>
        <w:rPr>
          <w:rFonts w:ascii="ITCGaramondStd-Lt" w:hAnsi="ITCGaramondStd-Lt" w:cs="ITCGaramondStd-Lt"/>
          <w:sz w:val="18"/>
          <w:szCs w:val="18"/>
        </w:rPr>
        <w:t>Author’s website</w:t>
      </w:r>
    </w:p>
    <w:p w:rsidR="005F2E09" w:rsidRDefault="005F2E09" w:rsidP="005F2E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GaramondStd-Lt" w:hAnsi="ITCGaramondStd-Lt" w:cs="ITCGaramondStd-Lt"/>
          <w:sz w:val="18"/>
          <w:szCs w:val="18"/>
        </w:rPr>
      </w:pPr>
      <w:r>
        <w:rPr>
          <w:rFonts w:ascii="ITCGaramondStd-Lt" w:hAnsi="ITCGaramondStd-Lt" w:cs="ITCGaramondStd-Lt"/>
          <w:sz w:val="18"/>
          <w:szCs w:val="18"/>
        </w:rPr>
        <w:t>Institution website</w:t>
      </w:r>
    </w:p>
    <w:p w:rsidR="005F2E09" w:rsidRDefault="005F2E09" w:rsidP="005F2E0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ITCGaramondStd-Lt" w:hAnsi="ITCGaramondStd-Lt" w:cs="ITCGaramondStd-Lt"/>
          <w:sz w:val="18"/>
          <w:szCs w:val="18"/>
        </w:rPr>
      </w:pPr>
      <w:r>
        <w:rPr>
          <w:rFonts w:ascii="ITCGaramondStd-Lt" w:hAnsi="ITCGaramondStd-Lt" w:cs="ITCGaramondStd-Lt"/>
          <w:sz w:val="18"/>
          <w:szCs w:val="18"/>
        </w:rPr>
        <w:t xml:space="preserve">Not mentioned </w:t>
      </w:r>
    </w:p>
    <w:p w:rsidR="005F2E09" w:rsidRPr="005F2E09" w:rsidRDefault="005F2E09" w:rsidP="005F2E09">
      <w:pPr>
        <w:autoSpaceDE w:val="0"/>
        <w:autoSpaceDN w:val="0"/>
        <w:adjustRightInd w:val="0"/>
        <w:spacing w:after="0" w:line="240" w:lineRule="auto"/>
        <w:ind w:left="1080"/>
        <w:rPr>
          <w:rFonts w:ascii="ITCGaramondStd-Lt" w:hAnsi="ITCGaramondStd-Lt" w:cs="ITCGaramondStd-Lt"/>
          <w:sz w:val="18"/>
          <w:szCs w:val="18"/>
        </w:rPr>
      </w:pPr>
    </w:p>
    <w:p w:rsidR="004A559B" w:rsidRPr="00143686" w:rsidRDefault="004A559B" w:rsidP="004A559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ITCGaramondStd-Lt" w:hAnsi="ITCGaramondStd-Lt" w:cs="ITCGaramondStd-Lt"/>
          <w:sz w:val="18"/>
          <w:szCs w:val="18"/>
        </w:rPr>
      </w:pPr>
    </w:p>
    <w:p w:rsidR="00F70CB8" w:rsidRPr="005B74BE" w:rsidRDefault="00F70CB8" w:rsidP="0014368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ITCGaramondStd-Lt" w:hAnsi="ITCGaramondStd-Lt" w:cs="ITCGaramondStd-Lt"/>
          <w:sz w:val="18"/>
          <w:szCs w:val="18"/>
        </w:rPr>
      </w:pPr>
    </w:p>
    <w:sectPr w:rsidR="00F70CB8" w:rsidRPr="005B74BE" w:rsidSect="00F70C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GaramondStd-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309BB"/>
    <w:multiLevelType w:val="hybridMultilevel"/>
    <w:tmpl w:val="E91A498A"/>
    <w:lvl w:ilvl="0" w:tplc="E26601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08107B"/>
    <w:multiLevelType w:val="hybridMultilevel"/>
    <w:tmpl w:val="91F013A4"/>
    <w:lvl w:ilvl="0" w:tplc="8B526A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25675D"/>
    <w:multiLevelType w:val="hybridMultilevel"/>
    <w:tmpl w:val="B7FA92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B5A85"/>
    <w:multiLevelType w:val="hybridMultilevel"/>
    <w:tmpl w:val="E91A498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086E39"/>
    <w:multiLevelType w:val="hybridMultilevel"/>
    <w:tmpl w:val="59AA3FCE"/>
    <w:lvl w:ilvl="0" w:tplc="2E2E0B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DIxMLe0MDQwN7c0MrVQ0lEKTi0uzszPAykwrAUATN4lWiwAAAA="/>
  </w:docVars>
  <w:rsids>
    <w:rsidRoot w:val="00F70CB8"/>
    <w:rsid w:val="00031854"/>
    <w:rsid w:val="00143686"/>
    <w:rsid w:val="001F5DEC"/>
    <w:rsid w:val="003C7D7D"/>
    <w:rsid w:val="004A559B"/>
    <w:rsid w:val="005B74BE"/>
    <w:rsid w:val="005F0F35"/>
    <w:rsid w:val="005F2E09"/>
    <w:rsid w:val="00DF0C98"/>
    <w:rsid w:val="00F70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0C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03185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0F3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F0F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lic-1</cp:lastModifiedBy>
  <cp:revision>3</cp:revision>
  <dcterms:created xsi:type="dcterms:W3CDTF">2022-07-16T05:49:00Z</dcterms:created>
  <dcterms:modified xsi:type="dcterms:W3CDTF">2022-07-19T13:07:00Z</dcterms:modified>
</cp:coreProperties>
</file>