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ACA5" w14:textId="7378E005" w:rsidR="00047672" w:rsidRPr="008113FD" w:rsidRDefault="00047672" w:rsidP="008113FD">
      <w:pPr>
        <w:spacing w:before="100" w:beforeAutospacing="1" w:after="100" w:afterAutospacing="1" w:line="360" w:lineRule="auto"/>
        <w:outlineLvl w:val="0"/>
        <w:rPr>
          <w:rFonts w:ascii="Alaska" w:eastAsia="Times New Roman" w:hAnsi="Alaska" w:cs="Times New Roman"/>
          <w:b/>
          <w:bCs/>
          <w:kern w:val="36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b/>
          <w:bCs/>
          <w:kern w:val="36"/>
          <w:sz w:val="24"/>
          <w:szCs w:val="24"/>
          <w:lang w:eastAsia="en-IN"/>
        </w:rPr>
        <w:t>Information Technology Act, 2000</w:t>
      </w:r>
    </w:p>
    <w:p w14:paraId="7F3706C4" w14:textId="7105F8FC" w:rsidR="009F0E0F" w:rsidRPr="008113FD" w:rsidRDefault="009F0E0F" w:rsidP="008113FD">
      <w:pPr>
        <w:spacing w:line="360" w:lineRule="auto"/>
        <w:jc w:val="both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New communication systems and digital technology have made dramatic changes in the way we live and the means to transact our daily business</w:t>
      </w:r>
      <w:r w:rsidRPr="008113FD">
        <w:rPr>
          <w:rFonts w:ascii="Alaska" w:hAnsi="Alaska"/>
          <w:sz w:val="24"/>
          <w:szCs w:val="24"/>
        </w:rPr>
        <w:t xml:space="preserve">. </w:t>
      </w:r>
      <w:r w:rsidRPr="008113FD">
        <w:rPr>
          <w:rFonts w:ascii="Alaska" w:eastAsia="Times New Roman" w:hAnsi="Alaska" w:cs="Times New Roman"/>
          <w:sz w:val="24"/>
          <w:szCs w:val="24"/>
          <w:lang w:eastAsia="en-IN"/>
        </w:rPr>
        <w:t>It is cheaper, easier to store and retrieve and speedier to communicate.</w:t>
      </w:r>
      <w:r w:rsidRPr="008113FD">
        <w:rPr>
          <w:rFonts w:ascii="Alaska" w:eastAsia="Times New Roman" w:hAnsi="Alaska" w:cs="Times New Roman"/>
          <w:sz w:val="24"/>
          <w:szCs w:val="24"/>
          <w:lang w:eastAsia="en-IN"/>
        </w:rPr>
        <w:t xml:space="preserve"> </w:t>
      </w:r>
      <w:r w:rsidRPr="008113FD">
        <w:rPr>
          <w:rFonts w:ascii="Alaska" w:eastAsia="Times New Roman" w:hAnsi="Alaska" w:cs="Times New Roman"/>
          <w:sz w:val="24"/>
          <w:szCs w:val="24"/>
          <w:lang w:eastAsia="en-IN"/>
        </w:rPr>
        <w:t>Although people are aware of the advantages which the electronic form of</w:t>
      </w:r>
      <w:r w:rsidRPr="008113FD">
        <w:rPr>
          <w:rFonts w:ascii="Alaska" w:eastAsia="Times New Roman" w:hAnsi="Alaska" w:cs="Times New Roman"/>
          <w:sz w:val="24"/>
          <w:szCs w:val="24"/>
          <w:lang w:eastAsia="en-IN"/>
        </w:rPr>
        <w:t xml:space="preserve"> </w:t>
      </w:r>
      <w:r w:rsidRPr="008113FD">
        <w:rPr>
          <w:rFonts w:ascii="Alaska" w:eastAsia="Times New Roman" w:hAnsi="Alaska" w:cs="Times New Roman"/>
          <w:sz w:val="24"/>
          <w:szCs w:val="24"/>
          <w:lang w:eastAsia="en-IN"/>
        </w:rPr>
        <w:t>business provides, people are reluctant to conduct business or conclude and transaction in the electronic form due to lack of appropriate legal framework.</w:t>
      </w:r>
      <w:r w:rsidRPr="008113FD">
        <w:rPr>
          <w:rFonts w:ascii="Alaska" w:eastAsia="Times New Roman" w:hAnsi="Alaska" w:cs="Times New Roman"/>
          <w:sz w:val="24"/>
          <w:szCs w:val="24"/>
          <w:lang w:eastAsia="en-IN"/>
        </w:rPr>
        <w:t xml:space="preserve"> </w:t>
      </w:r>
      <w:r w:rsidRPr="008113FD">
        <w:rPr>
          <w:rFonts w:ascii="Alaska" w:hAnsi="Alaska"/>
          <w:sz w:val="24"/>
          <w:szCs w:val="24"/>
        </w:rPr>
        <w:t>The Government of India realized the need for introducing a new law and for making suitable amendments to the existing laws to facilitate e-commerce and give legal recognition to electronic records and digital signatures</w:t>
      </w:r>
      <w:r w:rsidR="00A57F63" w:rsidRPr="008113FD">
        <w:rPr>
          <w:rFonts w:ascii="Alaska" w:hAnsi="Alaska"/>
          <w:sz w:val="24"/>
          <w:szCs w:val="24"/>
        </w:rPr>
        <w:t xml:space="preserve">. </w:t>
      </w:r>
      <w:r w:rsidR="00A57F63" w:rsidRPr="008113FD">
        <w:rPr>
          <w:rFonts w:ascii="Alaska" w:hAnsi="Alaska"/>
          <w:sz w:val="24"/>
          <w:szCs w:val="24"/>
        </w:rPr>
        <w:t>This gave birth to the Information Technology Bill, 1999.</w:t>
      </w:r>
    </w:p>
    <w:p w14:paraId="2F662894" w14:textId="320A38F1" w:rsidR="00047672" w:rsidRPr="008113FD" w:rsidRDefault="00047672" w:rsidP="008113FD">
      <w:pPr>
        <w:pStyle w:val="NormalWeb"/>
        <w:spacing w:line="360" w:lineRule="auto"/>
        <w:rPr>
          <w:rFonts w:ascii="Alaska" w:hAnsi="Alaska"/>
        </w:rPr>
      </w:pPr>
      <w:r w:rsidRPr="008113FD">
        <w:rPr>
          <w:rFonts w:ascii="Alaska" w:hAnsi="Alaska"/>
        </w:rPr>
        <w:t xml:space="preserve">The Information Technology Act, 2000 or ITA, 2000 or IT Act, was notified on October 17, 2000. It is the law that deals with cybercrime and electronic commerce in </w:t>
      </w:r>
      <w:hyperlink r:id="rId5" w:history="1">
        <w:r w:rsidRPr="008113FD">
          <w:rPr>
            <w:rStyle w:val="Hyperlink"/>
            <w:rFonts w:ascii="Alaska" w:hAnsi="Alaska"/>
          </w:rPr>
          <w:t>India</w:t>
        </w:r>
      </w:hyperlink>
      <w:r w:rsidRPr="008113FD">
        <w:rPr>
          <w:rFonts w:ascii="Alaska" w:hAnsi="Alaska"/>
        </w:rPr>
        <w:t xml:space="preserve">. </w:t>
      </w:r>
      <w:r w:rsidRPr="008113FD">
        <w:rPr>
          <w:rFonts w:ascii="Alaska" w:hAnsi="Alaska"/>
        </w:rPr>
        <w:t xml:space="preserve"> T</w:t>
      </w:r>
      <w:r w:rsidRPr="008113FD">
        <w:rPr>
          <w:rFonts w:ascii="Alaska" w:hAnsi="Alaska"/>
        </w:rPr>
        <w:t xml:space="preserve">he first draft was created by the Ministry of Commerce, </w:t>
      </w:r>
      <w:hyperlink r:id="rId6" w:history="1">
        <w:r w:rsidRPr="008113FD">
          <w:rPr>
            <w:rStyle w:val="Hyperlink"/>
            <w:rFonts w:ascii="Alaska" w:hAnsi="Alaska"/>
          </w:rPr>
          <w:t>Government</w:t>
        </w:r>
      </w:hyperlink>
      <w:r w:rsidRPr="008113FD">
        <w:rPr>
          <w:rFonts w:ascii="Alaska" w:hAnsi="Alaska"/>
        </w:rPr>
        <w:t xml:space="preserve"> of India as the ECommerce Act, 1998, it was redrafted as the ‘Information Technology Bill, 1999 and passed in May 2000.</w:t>
      </w:r>
    </w:p>
    <w:p w14:paraId="69C6A297" w14:textId="63FD4193" w:rsidR="00047672" w:rsidRPr="008113FD" w:rsidRDefault="00047672" w:rsidP="008113FD">
      <w:pPr>
        <w:pStyle w:val="Heading2"/>
        <w:spacing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Objectives of the Act</w:t>
      </w:r>
    </w:p>
    <w:p w14:paraId="05477AEC" w14:textId="77777777" w:rsidR="00047672" w:rsidRPr="008113FD" w:rsidRDefault="00047672" w:rsidP="008113FD">
      <w:pPr>
        <w:pStyle w:val="NormalWeb"/>
        <w:spacing w:line="360" w:lineRule="auto"/>
        <w:ind w:firstLine="720"/>
        <w:jc w:val="both"/>
        <w:rPr>
          <w:rFonts w:ascii="Alaska" w:hAnsi="Alaska"/>
        </w:rPr>
      </w:pPr>
      <w:r w:rsidRPr="008113FD">
        <w:rPr>
          <w:rFonts w:ascii="Alaska" w:hAnsi="Alaska"/>
        </w:rPr>
        <w:t xml:space="preserve">The Information Technology Act, 2000 provides legal recognition to the transaction done via electronic exchange of data and other electronic </w:t>
      </w:r>
      <w:hyperlink r:id="rId7" w:history="1">
        <w:r w:rsidRPr="008113FD">
          <w:rPr>
            <w:rStyle w:val="Hyperlink"/>
            <w:rFonts w:ascii="Alaska" w:hAnsi="Alaska"/>
          </w:rPr>
          <w:t>means of communication</w:t>
        </w:r>
      </w:hyperlink>
      <w:r w:rsidRPr="008113FD">
        <w:rPr>
          <w:rFonts w:ascii="Alaska" w:hAnsi="Alaska"/>
        </w:rPr>
        <w:t xml:space="preserve"> or electronic commerce transactions.</w:t>
      </w:r>
    </w:p>
    <w:p w14:paraId="224374E5" w14:textId="77777777" w:rsidR="00047672" w:rsidRPr="008113FD" w:rsidRDefault="00047672" w:rsidP="008113FD">
      <w:pPr>
        <w:pStyle w:val="NormalWeb"/>
        <w:spacing w:line="360" w:lineRule="auto"/>
        <w:ind w:firstLine="720"/>
        <w:rPr>
          <w:rFonts w:ascii="Alaska" w:hAnsi="Alaska"/>
        </w:rPr>
      </w:pPr>
      <w:r w:rsidRPr="008113FD">
        <w:rPr>
          <w:rFonts w:ascii="Alaska" w:hAnsi="Alaska"/>
        </w:rPr>
        <w:t xml:space="preserve">This also involves the use of alternatives to a paper-based method of </w:t>
      </w:r>
      <w:hyperlink r:id="rId8" w:history="1">
        <w:r w:rsidRPr="008113FD">
          <w:rPr>
            <w:rStyle w:val="Hyperlink"/>
            <w:rFonts w:ascii="Alaska" w:hAnsi="Alaska"/>
          </w:rPr>
          <w:t>communication</w:t>
        </w:r>
      </w:hyperlink>
      <w:r w:rsidRPr="008113FD">
        <w:rPr>
          <w:rFonts w:ascii="Alaska" w:hAnsi="Alaska"/>
        </w:rPr>
        <w:t xml:space="preserve"> and information storage to facilitate the electronic filing of documents with the Government agencies.</w:t>
      </w:r>
    </w:p>
    <w:p w14:paraId="10E841C5" w14:textId="7E0F1EE4" w:rsidR="00047672" w:rsidRPr="008113FD" w:rsidRDefault="00047672" w:rsidP="008113FD">
      <w:pPr>
        <w:pStyle w:val="NormalWeb"/>
        <w:spacing w:line="360" w:lineRule="auto"/>
        <w:ind w:firstLine="720"/>
        <w:rPr>
          <w:rFonts w:ascii="Alaska" w:hAnsi="Alaska"/>
        </w:rPr>
      </w:pPr>
      <w:r w:rsidRPr="008113FD">
        <w:rPr>
          <w:rFonts w:ascii="Alaska" w:hAnsi="Alaska"/>
        </w:rPr>
        <w:lastRenderedPageBreak/>
        <w:t xml:space="preserve">Further, this act amended the </w:t>
      </w:r>
      <w:hyperlink r:id="rId9" w:history="1">
        <w:r w:rsidRPr="008113FD">
          <w:rPr>
            <w:rStyle w:val="Hyperlink"/>
            <w:rFonts w:ascii="Alaska" w:hAnsi="Alaska"/>
          </w:rPr>
          <w:t>Indian Penal Code 1860</w:t>
        </w:r>
      </w:hyperlink>
      <w:r w:rsidRPr="008113FD">
        <w:rPr>
          <w:rFonts w:ascii="Alaska" w:hAnsi="Alaska"/>
        </w:rPr>
        <w:t xml:space="preserve">, the Indian Evidence Act 1872, the Bankers’ Books Evidence Act 1891, and the Reserve Bank of India Act 1934. </w:t>
      </w:r>
    </w:p>
    <w:p w14:paraId="2520FAEE" w14:textId="66ACE820" w:rsidR="00047672" w:rsidRPr="008113FD" w:rsidRDefault="00047672" w:rsidP="008113FD">
      <w:pPr>
        <w:pStyle w:val="NormalWeb"/>
        <w:spacing w:line="360" w:lineRule="auto"/>
        <w:ind w:firstLine="720"/>
        <w:rPr>
          <w:rFonts w:ascii="Alaska" w:hAnsi="Alaska"/>
        </w:rPr>
      </w:pPr>
      <w:r w:rsidRPr="008113FD">
        <w:rPr>
          <w:rFonts w:ascii="Alaska" w:hAnsi="Alaska"/>
        </w:rPr>
        <w:t xml:space="preserve">The specific </w:t>
      </w:r>
      <w:r w:rsidR="009F0E0F" w:rsidRPr="008113FD">
        <w:rPr>
          <w:rFonts w:ascii="Alaska" w:hAnsi="Alaska"/>
        </w:rPr>
        <w:t>objectives are:</w:t>
      </w:r>
    </w:p>
    <w:p w14:paraId="4B304A61" w14:textId="77777777" w:rsidR="00047672" w:rsidRPr="00047672" w:rsidRDefault="00047672" w:rsidP="00811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laska" w:eastAsia="Times New Roman" w:hAnsi="Alaska" w:cs="Times New Roman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 xml:space="preserve">Grant legal recognition to all transactions done via electronic exchange of data or other electronic means of communication or </w:t>
      </w:r>
      <w:hyperlink r:id="rId10" w:history="1">
        <w:r w:rsidRPr="00047672">
          <w:rPr>
            <w:rFonts w:ascii="Alaska" w:eastAsia="Times New Roman" w:hAnsi="Alaska" w:cs="Times New Roman"/>
            <w:color w:val="0000FF"/>
            <w:sz w:val="24"/>
            <w:szCs w:val="24"/>
            <w:u w:val="single"/>
            <w:lang w:eastAsia="en-IN"/>
          </w:rPr>
          <w:t>e-commerce</w:t>
        </w:r>
      </w:hyperlink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>, in place of the earlier paper-based method of communication.</w:t>
      </w:r>
    </w:p>
    <w:p w14:paraId="16A25650" w14:textId="77777777" w:rsidR="00047672" w:rsidRPr="00047672" w:rsidRDefault="00047672" w:rsidP="00811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laska" w:eastAsia="Times New Roman" w:hAnsi="Alaska" w:cs="Times New Roman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>Give legal recognition to digital signatures for the authentication of any information or matters requiring legal authentication</w:t>
      </w:r>
    </w:p>
    <w:p w14:paraId="6CD60431" w14:textId="77777777" w:rsidR="00047672" w:rsidRPr="00047672" w:rsidRDefault="00047672" w:rsidP="00811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laska" w:eastAsia="Times New Roman" w:hAnsi="Alaska" w:cs="Times New Roman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>Facilitate the electronic filing of documents with Government agencies and also departments</w:t>
      </w:r>
    </w:p>
    <w:p w14:paraId="696BB06D" w14:textId="77777777" w:rsidR="00047672" w:rsidRPr="00047672" w:rsidRDefault="00047672" w:rsidP="00811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laska" w:eastAsia="Times New Roman" w:hAnsi="Alaska" w:cs="Times New Roman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>Facilitate the electronic storage of data</w:t>
      </w:r>
    </w:p>
    <w:p w14:paraId="635C43B3" w14:textId="77777777" w:rsidR="00047672" w:rsidRPr="00047672" w:rsidRDefault="00047672" w:rsidP="00811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laska" w:eastAsia="Times New Roman" w:hAnsi="Alaska" w:cs="Times New Roman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 xml:space="preserve">Give legal sanction and also facilitate the electronic transfer of funds between </w:t>
      </w:r>
      <w:hyperlink r:id="rId11" w:history="1">
        <w:r w:rsidRPr="00047672">
          <w:rPr>
            <w:rFonts w:ascii="Alaska" w:eastAsia="Times New Roman" w:hAnsi="Alaska" w:cs="Times New Roman"/>
            <w:color w:val="0000FF"/>
            <w:sz w:val="24"/>
            <w:szCs w:val="24"/>
            <w:u w:val="single"/>
            <w:lang w:eastAsia="en-IN"/>
          </w:rPr>
          <w:t>banks</w:t>
        </w:r>
      </w:hyperlink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 xml:space="preserve"> and financial institutions</w:t>
      </w:r>
    </w:p>
    <w:p w14:paraId="659E1EC3" w14:textId="77777777" w:rsidR="00047672" w:rsidRPr="00047672" w:rsidRDefault="00047672" w:rsidP="008113F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laska" w:eastAsia="Times New Roman" w:hAnsi="Alaska" w:cs="Times New Roman"/>
          <w:sz w:val="24"/>
          <w:szCs w:val="24"/>
          <w:lang w:eastAsia="en-IN"/>
        </w:rPr>
      </w:pPr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 xml:space="preserve">Grant legal recognition to bankers under the Evidence Act, 1891 and the </w:t>
      </w:r>
      <w:hyperlink r:id="rId12" w:history="1">
        <w:r w:rsidRPr="00047672">
          <w:rPr>
            <w:rFonts w:ascii="Alaska" w:eastAsia="Times New Roman" w:hAnsi="Alaska" w:cs="Times New Roman"/>
            <w:color w:val="0000FF"/>
            <w:sz w:val="24"/>
            <w:szCs w:val="24"/>
            <w:u w:val="single"/>
            <w:lang w:eastAsia="en-IN"/>
          </w:rPr>
          <w:t>Reserve Bank</w:t>
        </w:r>
      </w:hyperlink>
      <w:r w:rsidRPr="00047672">
        <w:rPr>
          <w:rFonts w:ascii="Alaska" w:eastAsia="Times New Roman" w:hAnsi="Alaska" w:cs="Times New Roman"/>
          <w:sz w:val="24"/>
          <w:szCs w:val="24"/>
          <w:lang w:eastAsia="en-IN"/>
        </w:rPr>
        <w:t xml:space="preserve"> of India Act, 1934, for keeping the books of accounts in electronic form.</w:t>
      </w:r>
    </w:p>
    <w:p w14:paraId="0D89259F" w14:textId="77777777" w:rsidR="009F0E0F" w:rsidRPr="008113FD" w:rsidRDefault="009F0E0F" w:rsidP="008113FD">
      <w:pPr>
        <w:pStyle w:val="Heading2"/>
        <w:spacing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Features of the Information Technology Act, 2000</w:t>
      </w:r>
    </w:p>
    <w:p w14:paraId="61750799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All electronic contracts made through secure electronic channels are legally valid.</w:t>
      </w:r>
    </w:p>
    <w:p w14:paraId="61B15352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Legal recognition for digital signatures.</w:t>
      </w:r>
    </w:p>
    <w:p w14:paraId="6AD6495A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Security measures for electronic records and also digital signatures are in place</w:t>
      </w:r>
    </w:p>
    <w:p w14:paraId="39C8F65C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lastRenderedPageBreak/>
        <w:t>A procedure for the appointment of adjudicating officers for holding inquiries under the Act is finalized</w:t>
      </w:r>
    </w:p>
    <w:p w14:paraId="6D9FFA37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Provision for establishing a Cyber Regulatory Appellant Tribunal under the Act. Further, this tribunal will handle all appeals made against the order of the Controller or Adjudicating Officer.</w:t>
      </w:r>
    </w:p>
    <w:p w14:paraId="2D4F052B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An appeal against the order of the Cyber Appellant Tribunal is possible only in the High Court</w:t>
      </w:r>
    </w:p>
    <w:p w14:paraId="4B861FC2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hyperlink r:id="rId13" w:history="1">
        <w:r w:rsidRPr="008113FD">
          <w:rPr>
            <w:rStyle w:val="Hyperlink"/>
            <w:rFonts w:ascii="Alaska" w:hAnsi="Alaska"/>
            <w:sz w:val="24"/>
            <w:szCs w:val="24"/>
          </w:rPr>
          <w:t>Digital Signatures</w:t>
        </w:r>
      </w:hyperlink>
      <w:r w:rsidRPr="008113FD">
        <w:rPr>
          <w:rFonts w:ascii="Alaska" w:hAnsi="Alaska"/>
          <w:sz w:val="24"/>
          <w:szCs w:val="24"/>
        </w:rPr>
        <w:t xml:space="preserve"> will use an asymmetric cryptosystem and also a hash function</w:t>
      </w:r>
    </w:p>
    <w:p w14:paraId="737D26D9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Provision for the appointment of the Controller of Certifying Authorities (CCA) to license and regulate the working of Certifying Authorities. The Controller to act as a repository of all digital signatures.</w:t>
      </w:r>
    </w:p>
    <w:p w14:paraId="234836B7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The Act applies to offences or contraventions committed outside India</w:t>
      </w:r>
    </w:p>
    <w:p w14:paraId="2467C2E7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Senior police officers and other officers can enter any public place and search and arrest without warrant</w:t>
      </w:r>
    </w:p>
    <w:p w14:paraId="3BACE924" w14:textId="77777777" w:rsidR="009F0E0F" w:rsidRPr="008113FD" w:rsidRDefault="009F0E0F" w:rsidP="008113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Provisions for the constitution of a Cyber Regulations Advisory Committee to advise the Central Government and Controller</w:t>
      </w:r>
    </w:p>
    <w:p w14:paraId="5153D7E1" w14:textId="5C91338F" w:rsidR="00A6117F" w:rsidRPr="008113FD" w:rsidRDefault="00C562FB" w:rsidP="008113FD">
      <w:pPr>
        <w:spacing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Conclusion</w:t>
      </w:r>
    </w:p>
    <w:p w14:paraId="4973E62A" w14:textId="0342DC77" w:rsidR="00C562FB" w:rsidRPr="008113FD" w:rsidRDefault="00C562FB" w:rsidP="008113FD">
      <w:pPr>
        <w:spacing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hAnsi="Alaska"/>
          <w:sz w:val="24"/>
          <w:szCs w:val="24"/>
        </w:rPr>
        <w:t>T</w:t>
      </w:r>
      <w:r w:rsidRPr="008113FD">
        <w:rPr>
          <w:rFonts w:ascii="Alaska" w:hAnsi="Alaska"/>
          <w:sz w:val="24"/>
          <w:szCs w:val="24"/>
        </w:rPr>
        <w:t>he Information Technology Act, 2000 is the first enactment of its kind in India, which grants e-governance rights to the citizens of India</w:t>
      </w:r>
      <w:r w:rsidRPr="008113FD">
        <w:rPr>
          <w:rFonts w:ascii="Alaska" w:hAnsi="Alaska"/>
          <w:sz w:val="24"/>
          <w:szCs w:val="24"/>
        </w:rPr>
        <w:t xml:space="preserve">. </w:t>
      </w:r>
      <w:r w:rsidRPr="008113FD">
        <w:rPr>
          <w:rFonts w:ascii="Alaska" w:hAnsi="Alaska"/>
          <w:sz w:val="24"/>
          <w:szCs w:val="24"/>
        </w:rPr>
        <w:t xml:space="preserve">The Information Technology </w:t>
      </w:r>
      <w:proofErr w:type="gramStart"/>
      <w:r w:rsidRPr="008113FD">
        <w:rPr>
          <w:rFonts w:ascii="Alaska" w:hAnsi="Alaska"/>
          <w:sz w:val="24"/>
          <w:szCs w:val="24"/>
        </w:rPr>
        <w:t>Act ,</w:t>
      </w:r>
      <w:proofErr w:type="gramEnd"/>
      <w:r w:rsidRPr="008113FD">
        <w:rPr>
          <w:rFonts w:ascii="Alaska" w:hAnsi="Alaska"/>
          <w:sz w:val="24"/>
          <w:szCs w:val="24"/>
        </w:rPr>
        <w:t xml:space="preserve"> 2000 attempts to change outdated laws and provides ways to deal with </w:t>
      </w:r>
      <w:proofErr w:type="spellStart"/>
      <w:r w:rsidRPr="008113FD">
        <w:rPr>
          <w:rFonts w:ascii="Alaska" w:hAnsi="Alaska"/>
          <w:sz w:val="24"/>
          <w:szCs w:val="24"/>
        </w:rPr>
        <w:t>cyber crimes</w:t>
      </w:r>
      <w:proofErr w:type="spellEnd"/>
      <w:r w:rsidRPr="008113FD">
        <w:rPr>
          <w:rFonts w:ascii="Alaska" w:hAnsi="Alaska"/>
          <w:sz w:val="24"/>
          <w:szCs w:val="24"/>
        </w:rPr>
        <w:t xml:space="preserve">. </w:t>
      </w:r>
      <w:r w:rsidRPr="008113FD">
        <w:rPr>
          <w:rFonts w:ascii="Alaska" w:hAnsi="Alaska"/>
          <w:sz w:val="24"/>
          <w:szCs w:val="24"/>
        </w:rPr>
        <w:t xml:space="preserve">The Information Technology </w:t>
      </w:r>
      <w:proofErr w:type="gramStart"/>
      <w:r w:rsidRPr="008113FD">
        <w:rPr>
          <w:rFonts w:ascii="Alaska" w:hAnsi="Alaska"/>
          <w:sz w:val="24"/>
          <w:szCs w:val="24"/>
        </w:rPr>
        <w:t>Act ,</w:t>
      </w:r>
      <w:proofErr w:type="gramEnd"/>
      <w:r w:rsidRPr="008113FD">
        <w:rPr>
          <w:rFonts w:ascii="Alaska" w:hAnsi="Alaska"/>
          <w:sz w:val="24"/>
          <w:szCs w:val="24"/>
        </w:rPr>
        <w:t xml:space="preserve"> 2000 attempts to change outdated laws and provides ways to deal with </w:t>
      </w:r>
      <w:proofErr w:type="spellStart"/>
      <w:r w:rsidRPr="008113FD">
        <w:rPr>
          <w:rFonts w:ascii="Alaska" w:hAnsi="Alaska"/>
          <w:sz w:val="24"/>
          <w:szCs w:val="24"/>
        </w:rPr>
        <w:t>cyber crimes</w:t>
      </w:r>
      <w:proofErr w:type="spellEnd"/>
      <w:r w:rsidRPr="008113FD">
        <w:rPr>
          <w:rFonts w:ascii="Alaska" w:hAnsi="Alaska"/>
          <w:sz w:val="24"/>
          <w:szCs w:val="24"/>
        </w:rPr>
        <w:t xml:space="preserve">. We need such laws so that people can perform purchase transactions over the Net through credit cards without fear of misuse. The Act offers the much-needed legal framework so that information is not </w:t>
      </w:r>
      <w:r w:rsidRPr="008113FD">
        <w:rPr>
          <w:rFonts w:ascii="Alaska" w:hAnsi="Alaska"/>
          <w:sz w:val="24"/>
          <w:szCs w:val="24"/>
        </w:rPr>
        <w:lastRenderedPageBreak/>
        <w:t>denied legal effect, validity or enforceability, solely on the ground that it is in the form of electronic records.</w:t>
      </w:r>
    </w:p>
    <w:p w14:paraId="37107CB9" w14:textId="67E9F718" w:rsidR="00C562FB" w:rsidRPr="008113FD" w:rsidRDefault="00332083" w:rsidP="008113FD">
      <w:pPr>
        <w:spacing w:line="360" w:lineRule="auto"/>
        <w:rPr>
          <w:rFonts w:ascii="Alaska" w:hAnsi="Alaska"/>
          <w:b/>
          <w:sz w:val="24"/>
          <w:szCs w:val="24"/>
        </w:rPr>
      </w:pPr>
      <w:r w:rsidRPr="008113FD">
        <w:rPr>
          <w:rFonts w:ascii="Alaska" w:hAnsi="Alaska"/>
          <w:b/>
          <w:sz w:val="24"/>
          <w:szCs w:val="24"/>
        </w:rPr>
        <w:t>References</w:t>
      </w:r>
    </w:p>
    <w:p w14:paraId="70D27AAC" w14:textId="77777777" w:rsidR="008677F9" w:rsidRPr="008113FD" w:rsidRDefault="00332083" w:rsidP="008113FD">
      <w:pPr>
        <w:pStyle w:val="Default"/>
        <w:numPr>
          <w:ilvl w:val="0"/>
          <w:numId w:val="4"/>
        </w:numPr>
        <w:spacing w:before="240" w:after="120" w:line="360" w:lineRule="auto"/>
        <w:jc w:val="both"/>
        <w:rPr>
          <w:rFonts w:ascii="Alaska" w:hAnsi="Alaska"/>
        </w:rPr>
      </w:pPr>
      <w:r w:rsidRPr="008113FD">
        <w:rPr>
          <w:rFonts w:ascii="Alaska" w:hAnsi="Alaska"/>
        </w:rPr>
        <w:t xml:space="preserve">Mishra </w:t>
      </w:r>
      <w:proofErr w:type="gramStart"/>
      <w:r w:rsidRPr="008113FD">
        <w:rPr>
          <w:rFonts w:ascii="Alaska" w:hAnsi="Alaska"/>
        </w:rPr>
        <w:t>R.C ,</w:t>
      </w:r>
      <w:proofErr w:type="gramEnd"/>
      <w:r w:rsidRPr="008113FD">
        <w:rPr>
          <w:rFonts w:ascii="Alaska" w:hAnsi="Alaska"/>
        </w:rPr>
        <w:t xml:space="preserve"> “ </w:t>
      </w:r>
      <w:proofErr w:type="spellStart"/>
      <w:r w:rsidRPr="008113FD">
        <w:rPr>
          <w:rFonts w:ascii="Alaska" w:hAnsi="Alaska"/>
        </w:rPr>
        <w:t>Cyber crime</w:t>
      </w:r>
      <w:proofErr w:type="spellEnd"/>
      <w:r w:rsidRPr="008113FD">
        <w:rPr>
          <w:rFonts w:ascii="Alaska" w:hAnsi="Alaska"/>
        </w:rPr>
        <w:t xml:space="preserve">: impact in the new millennium”, 2002 Edition </w:t>
      </w:r>
    </w:p>
    <w:p w14:paraId="4AD9170F" w14:textId="77777777" w:rsidR="008677F9" w:rsidRPr="008677F9" w:rsidRDefault="008677F9" w:rsidP="008113FD">
      <w:pPr>
        <w:spacing w:after="0" w:line="360" w:lineRule="auto"/>
        <w:rPr>
          <w:rFonts w:ascii="Alaska" w:eastAsia="Times New Roman" w:hAnsi="Alaska" w:cs="Times New Roman"/>
          <w:color w:val="0000FF"/>
          <w:sz w:val="24"/>
          <w:szCs w:val="24"/>
          <w:u w:val="single"/>
          <w:lang w:eastAsia="en-IN"/>
        </w:rPr>
      </w:pPr>
      <w:r w:rsidRPr="008113FD">
        <w:rPr>
          <w:rFonts w:ascii="Alaska" w:hAnsi="Alaska"/>
          <w:sz w:val="24"/>
          <w:szCs w:val="24"/>
        </w:rPr>
        <w:t xml:space="preserve">2. </w:t>
      </w:r>
      <w:r w:rsidRPr="008113FD">
        <w:rPr>
          <w:rFonts w:ascii="Alaska" w:eastAsia="Times New Roman" w:hAnsi="Alaska" w:cs="Times New Roman"/>
          <w:i/>
          <w:iCs/>
          <w:color w:val="0000FF"/>
          <w:sz w:val="24"/>
          <w:szCs w:val="24"/>
          <w:u w:val="single"/>
          <w:lang w:eastAsia="en-IN"/>
        </w:rPr>
        <w:fldChar w:fldCharType="begin"/>
      </w:r>
      <w:r w:rsidRPr="008113FD">
        <w:rPr>
          <w:rFonts w:ascii="Alaska" w:eastAsia="Times New Roman" w:hAnsi="Alaska" w:cs="Times New Roman"/>
          <w:i/>
          <w:iCs/>
          <w:color w:val="0000FF"/>
          <w:sz w:val="24"/>
          <w:szCs w:val="24"/>
          <w:u w:val="single"/>
          <w:lang w:eastAsia="en-IN"/>
        </w:rPr>
        <w:instrText xml:space="preserve"> HYPERLINK "</w:instrText>
      </w:r>
      <w:r w:rsidRPr="008677F9">
        <w:rPr>
          <w:rFonts w:ascii="Alaska" w:eastAsia="Times New Roman" w:hAnsi="Alaska" w:cs="Times New Roman"/>
          <w:i/>
          <w:iCs/>
          <w:color w:val="0000FF"/>
          <w:sz w:val="24"/>
          <w:szCs w:val="24"/>
          <w:u w:val="single"/>
          <w:lang w:eastAsia="en-IN"/>
        </w:rPr>
        <w:instrText>https://meity.gov.in › content › information-technology-act-2000</w:instrText>
      </w:r>
    </w:p>
    <w:p w14:paraId="104AB6AE" w14:textId="3DF49AA8" w:rsidR="008677F9" w:rsidRPr="008113FD" w:rsidRDefault="008677F9" w:rsidP="008113FD">
      <w:pPr>
        <w:spacing w:after="0" w:line="360" w:lineRule="auto"/>
        <w:rPr>
          <w:rFonts w:ascii="Alaska" w:hAnsi="Alaska"/>
          <w:sz w:val="24"/>
          <w:szCs w:val="24"/>
        </w:rPr>
      </w:pPr>
      <w:r w:rsidRPr="008113FD">
        <w:rPr>
          <w:rFonts w:ascii="Alaska" w:eastAsia="Times New Roman" w:hAnsi="Alaska" w:cs="Times New Roman"/>
          <w:i/>
          <w:iCs/>
          <w:color w:val="0000FF"/>
          <w:sz w:val="24"/>
          <w:szCs w:val="24"/>
          <w:u w:val="single"/>
          <w:lang w:eastAsia="en-IN"/>
        </w:rPr>
        <w:instrText xml:space="preserve">" </w:instrText>
      </w:r>
      <w:r w:rsidRPr="008113FD">
        <w:rPr>
          <w:rFonts w:ascii="Alaska" w:eastAsia="Times New Roman" w:hAnsi="Alaska" w:cs="Times New Roman"/>
          <w:i/>
          <w:iCs/>
          <w:color w:val="0000FF"/>
          <w:sz w:val="24"/>
          <w:szCs w:val="24"/>
          <w:u w:val="single"/>
          <w:lang w:eastAsia="en-IN"/>
        </w:rPr>
        <w:fldChar w:fldCharType="separate"/>
      </w:r>
      <w:r w:rsidRPr="008677F9">
        <w:rPr>
          <w:rStyle w:val="Hyperlink"/>
          <w:rFonts w:ascii="Alaska" w:eastAsia="Times New Roman" w:hAnsi="Alaska" w:cs="Times New Roman"/>
          <w:i/>
          <w:iCs/>
          <w:sz w:val="24"/>
          <w:szCs w:val="24"/>
          <w:lang w:eastAsia="en-IN"/>
        </w:rPr>
        <w:t>https://meity.gov.in › content › information-tec</w:t>
      </w:r>
      <w:bookmarkStart w:id="0" w:name="_GoBack"/>
      <w:bookmarkEnd w:id="0"/>
      <w:r w:rsidRPr="008677F9">
        <w:rPr>
          <w:rStyle w:val="Hyperlink"/>
          <w:rFonts w:ascii="Alaska" w:eastAsia="Times New Roman" w:hAnsi="Alaska" w:cs="Times New Roman"/>
          <w:i/>
          <w:iCs/>
          <w:sz w:val="24"/>
          <w:szCs w:val="24"/>
          <w:lang w:eastAsia="en-IN"/>
        </w:rPr>
        <w:t>hnology-act-2000</w:t>
      </w:r>
      <w:r w:rsidRPr="008113FD">
        <w:rPr>
          <w:rFonts w:ascii="Alaska" w:eastAsia="Times New Roman" w:hAnsi="Alaska" w:cs="Times New Roman"/>
          <w:i/>
          <w:iCs/>
          <w:color w:val="0000FF"/>
          <w:sz w:val="24"/>
          <w:szCs w:val="24"/>
          <w:u w:val="single"/>
          <w:lang w:eastAsia="en-IN"/>
        </w:rPr>
        <w:fldChar w:fldCharType="end"/>
      </w:r>
    </w:p>
    <w:sectPr w:rsidR="008677F9" w:rsidRPr="00811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355"/>
    <w:multiLevelType w:val="hybridMultilevel"/>
    <w:tmpl w:val="AC1C5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451"/>
    <w:multiLevelType w:val="multilevel"/>
    <w:tmpl w:val="E5A0E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20DBA"/>
    <w:multiLevelType w:val="hybridMultilevel"/>
    <w:tmpl w:val="45647B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03E2F"/>
    <w:multiLevelType w:val="multilevel"/>
    <w:tmpl w:val="BA44453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MjUzNzQ2MzIytLBQ0lEKTi0uzszPAykwqgUAq3YgXCwAAAA="/>
  </w:docVars>
  <w:rsids>
    <w:rsidRoot w:val="00047672"/>
    <w:rsid w:val="00047672"/>
    <w:rsid w:val="00332083"/>
    <w:rsid w:val="004B2231"/>
    <w:rsid w:val="008113FD"/>
    <w:rsid w:val="008677F9"/>
    <w:rsid w:val="009F0E0F"/>
    <w:rsid w:val="00A57F63"/>
    <w:rsid w:val="00A6117F"/>
    <w:rsid w:val="00C562FB"/>
    <w:rsid w:val="00D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903F"/>
  <w15:chartTrackingRefBased/>
  <w15:docId w15:val="{E256EBC0-3CA8-4906-87C0-5733667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67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476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32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677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6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pr.com/guides/business-studies/directing/communication/" TargetMode="External"/><Relationship Id="rId13" Type="http://schemas.openxmlformats.org/officeDocument/2006/relationships/hyperlink" Target="https://www.toppr.com/guides/business-laws-cs/cyber-laws/digital-signatu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pr.com/guides/business-correspondence-and-reporting/communication/types-of-communication/" TargetMode="External"/><Relationship Id="rId12" Type="http://schemas.openxmlformats.org/officeDocument/2006/relationships/hyperlink" Target="https://www.toppr.com/guides/commercial-knowledge/organizations-facilitating-business/the-reserve-bank-of-in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pr.com/guides/civics/what-is-government/meaning-of-government/" TargetMode="External"/><Relationship Id="rId11" Type="http://schemas.openxmlformats.org/officeDocument/2006/relationships/hyperlink" Target="https://www.toppr.com/guides/general-awareness/banks/major-functions-of-banks/" TargetMode="External"/><Relationship Id="rId5" Type="http://schemas.openxmlformats.org/officeDocument/2006/relationships/hyperlink" Target="https://www.toppr.com/guides/general-knowledge/overview-of-india/india-an-overview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oppr.com/guides/business-environment/emerging-trends-in-business/electronic-commer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pr.com/guides/legal-aptitude/indian-penal-code/abetment-under-section-107-ipc-instigation-conspiracy-ai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2019-11-26T07:07:00Z</dcterms:created>
  <dcterms:modified xsi:type="dcterms:W3CDTF">2019-11-26T15:54:00Z</dcterms:modified>
</cp:coreProperties>
</file>