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FEBF" w14:textId="77777777" w:rsidR="007735B4" w:rsidRDefault="007735B4" w:rsidP="007735B4">
      <w:pPr>
        <w:jc w:val="center"/>
        <w:rPr>
          <w:rFonts w:ascii="Helvetica" w:hAnsi="Helvetica" w:cs="Helvetica"/>
          <w:b/>
          <w:bCs/>
          <w:sz w:val="19"/>
          <w:szCs w:val="19"/>
        </w:rPr>
      </w:pPr>
      <w:bookmarkStart w:id="0" w:name="_Hlk107905254"/>
      <w:r w:rsidRPr="00427004">
        <w:rPr>
          <w:rFonts w:ascii="Helvetica" w:hAnsi="Helvetica" w:cs="Helvetica"/>
          <w:b/>
          <w:bCs/>
          <w:sz w:val="19"/>
          <w:szCs w:val="19"/>
        </w:rPr>
        <w:t>An Analysis of the Pre-print Policies of the Communication Disorders Journals</w:t>
      </w:r>
    </w:p>
    <w:bookmarkEnd w:id="0"/>
    <w:p w14:paraId="2F62CBBD" w14:textId="77777777" w:rsidR="00DC714E" w:rsidRPr="00DC714E" w:rsidRDefault="00DC714E" w:rsidP="007735B4">
      <w:pPr>
        <w:autoSpaceDE w:val="0"/>
        <w:autoSpaceDN w:val="0"/>
        <w:adjustRightInd w:val="0"/>
        <w:spacing w:after="0" w:line="360" w:lineRule="auto"/>
        <w:jc w:val="both"/>
        <w:rPr>
          <w:rFonts w:cstheme="minorHAnsi"/>
          <w:b/>
          <w:sz w:val="24"/>
          <w:szCs w:val="24"/>
        </w:rPr>
      </w:pPr>
      <w:r w:rsidRPr="00DC714E">
        <w:rPr>
          <w:rFonts w:cstheme="minorHAnsi"/>
          <w:b/>
          <w:sz w:val="24"/>
          <w:szCs w:val="24"/>
        </w:rPr>
        <w:t>Abstract</w:t>
      </w:r>
    </w:p>
    <w:p w14:paraId="7C2EF024" w14:textId="77777777" w:rsidR="007735B4" w:rsidRDefault="007735B4" w:rsidP="007735B4">
      <w:pPr>
        <w:autoSpaceDE w:val="0"/>
        <w:autoSpaceDN w:val="0"/>
        <w:adjustRightInd w:val="0"/>
        <w:spacing w:after="0" w:line="360" w:lineRule="auto"/>
        <w:jc w:val="both"/>
        <w:rPr>
          <w:rFonts w:cstheme="minorHAnsi"/>
          <w:sz w:val="24"/>
          <w:szCs w:val="24"/>
          <w:shd w:val="clear" w:color="auto" w:fill="FFFFFF"/>
        </w:rPr>
      </w:pPr>
      <w:r w:rsidRPr="00060432">
        <w:rPr>
          <w:rFonts w:cstheme="minorHAnsi"/>
          <w:sz w:val="24"/>
          <w:szCs w:val="24"/>
        </w:rPr>
        <w:t>Public</w:t>
      </w:r>
      <w:r>
        <w:rPr>
          <w:rFonts w:cstheme="minorHAnsi"/>
          <w:sz w:val="24"/>
          <w:szCs w:val="24"/>
        </w:rPr>
        <w:t>ly disseminating</w:t>
      </w:r>
      <w:r w:rsidRPr="00060432">
        <w:rPr>
          <w:rFonts w:cstheme="minorHAnsi"/>
          <w:sz w:val="24"/>
          <w:szCs w:val="24"/>
        </w:rPr>
        <w:t xml:space="preserve"> scholarly papers as preprints has </w:t>
      </w:r>
      <w:r>
        <w:rPr>
          <w:rFonts w:cstheme="minorHAnsi"/>
          <w:sz w:val="24"/>
          <w:szCs w:val="24"/>
        </w:rPr>
        <w:t>gained</w:t>
      </w:r>
      <w:r w:rsidRPr="00060432">
        <w:rPr>
          <w:rFonts w:cstheme="minorHAnsi"/>
          <w:sz w:val="24"/>
          <w:szCs w:val="24"/>
        </w:rPr>
        <w:t xml:space="preserve"> momentum in every subject field. The recent pandemic</w:t>
      </w:r>
      <w:r>
        <w:rPr>
          <w:rFonts w:cstheme="minorHAnsi"/>
          <w:sz w:val="24"/>
          <w:szCs w:val="24"/>
        </w:rPr>
        <w:t xml:space="preserve"> demonstrated </w:t>
      </w:r>
      <w:r w:rsidRPr="00060432">
        <w:rPr>
          <w:rFonts w:cstheme="minorHAnsi"/>
          <w:sz w:val="24"/>
          <w:szCs w:val="24"/>
        </w:rPr>
        <w:t>the importance of the preprint as a channel of scientific communication.</w:t>
      </w:r>
      <w:r>
        <w:rPr>
          <w:rFonts w:cstheme="minorHAnsi"/>
          <w:sz w:val="24"/>
          <w:szCs w:val="24"/>
        </w:rPr>
        <w:t xml:space="preserve"> T</w:t>
      </w:r>
      <w:r w:rsidRPr="00060432">
        <w:rPr>
          <w:rFonts w:cstheme="minorHAnsi"/>
          <w:sz w:val="24"/>
          <w:szCs w:val="24"/>
        </w:rPr>
        <w:t xml:space="preserve">he preprints are getting recognized as the formal </w:t>
      </w:r>
      <w:r>
        <w:rPr>
          <w:rFonts w:cstheme="minorHAnsi"/>
          <w:sz w:val="24"/>
          <w:szCs w:val="24"/>
        </w:rPr>
        <w:t xml:space="preserve">component </w:t>
      </w:r>
      <w:r w:rsidRPr="00060432">
        <w:rPr>
          <w:rFonts w:cstheme="minorHAnsi"/>
          <w:sz w:val="24"/>
          <w:szCs w:val="24"/>
        </w:rPr>
        <w:t xml:space="preserve">of </w:t>
      </w:r>
      <w:r>
        <w:rPr>
          <w:rFonts w:cstheme="minorHAnsi"/>
          <w:sz w:val="24"/>
          <w:szCs w:val="24"/>
        </w:rPr>
        <w:t xml:space="preserve">the publication process. Hence, the publishers must announce a clear policy regarding the preprints to the authors. </w:t>
      </w:r>
      <w:r w:rsidRPr="00060432">
        <w:rPr>
          <w:rFonts w:cstheme="minorHAnsi"/>
          <w:sz w:val="24"/>
          <w:szCs w:val="24"/>
        </w:rPr>
        <w:t xml:space="preserve">Communication disorders is a combined discipline of audiology and speech-language pathology that deals with </w:t>
      </w:r>
      <w:r w:rsidRPr="00060432">
        <w:rPr>
          <w:rFonts w:cstheme="minorHAnsi"/>
          <w:sz w:val="24"/>
          <w:szCs w:val="24"/>
          <w:shd w:val="clear" w:color="auto" w:fill="FFFFFF"/>
        </w:rPr>
        <w:t xml:space="preserve">speech, hearing, and language sciences and disabilities. </w:t>
      </w:r>
      <w:r>
        <w:rPr>
          <w:rFonts w:cstheme="minorHAnsi"/>
          <w:sz w:val="24"/>
          <w:szCs w:val="24"/>
          <w:shd w:val="clear" w:color="auto" w:fill="FFFFFF"/>
        </w:rPr>
        <w:t xml:space="preserve">There are several journals on communication disorders publishing research from across the world. The publishers in the field include non-profit organizations, learned societies, and commercial publishing companies. Understanding the preprint policies of communication disorders journals will help the professionals in the area quickly disseminate their research results. The present study aims to </w:t>
      </w:r>
      <w:proofErr w:type="spellStart"/>
      <w:r>
        <w:rPr>
          <w:rFonts w:cstheme="minorHAnsi"/>
          <w:sz w:val="24"/>
          <w:szCs w:val="24"/>
          <w:shd w:val="clear" w:color="auto" w:fill="FFFFFF"/>
        </w:rPr>
        <w:t>analyze</w:t>
      </w:r>
      <w:proofErr w:type="spellEnd"/>
      <w:r>
        <w:rPr>
          <w:rFonts w:cstheme="minorHAnsi"/>
          <w:sz w:val="24"/>
          <w:szCs w:val="24"/>
          <w:shd w:val="clear" w:color="auto" w:fill="FFFFFF"/>
        </w:rPr>
        <w:t xml:space="preserve"> the preprint policies of the major communication disorders journals. The journals indexed in the Web of Science under the subject category 'Audiology &amp; Speech-</w:t>
      </w:r>
      <w:proofErr w:type="spellStart"/>
      <w:r>
        <w:rPr>
          <w:rFonts w:cstheme="minorHAnsi"/>
          <w:sz w:val="24"/>
          <w:szCs w:val="24"/>
          <w:shd w:val="clear" w:color="auto" w:fill="FFFFFF"/>
        </w:rPr>
        <w:t>Langauge</w:t>
      </w:r>
      <w:proofErr w:type="spellEnd"/>
      <w:r>
        <w:rPr>
          <w:rFonts w:cstheme="minorHAnsi"/>
          <w:sz w:val="24"/>
          <w:szCs w:val="24"/>
          <w:shd w:val="clear" w:color="auto" w:fill="FFFFFF"/>
        </w:rPr>
        <w:t xml:space="preserve"> Pathology' have been selected as the dataset for the study. Thirty journals are listed in the Web of Science database under the above category. A descriptive analysis of the preprint policies of these journals will be performed by collecting relevant information from their official websites. </w:t>
      </w:r>
    </w:p>
    <w:p w14:paraId="2FBF9728" w14:textId="77777777" w:rsidR="00F6681D" w:rsidRDefault="00DC714E" w:rsidP="001E19CA">
      <w:pPr>
        <w:autoSpaceDE w:val="0"/>
        <w:autoSpaceDN w:val="0"/>
        <w:adjustRightInd w:val="0"/>
        <w:spacing w:after="0" w:line="360" w:lineRule="auto"/>
        <w:jc w:val="both"/>
        <w:rPr>
          <w:rFonts w:cstheme="minorHAnsi"/>
          <w:b/>
          <w:sz w:val="24"/>
          <w:szCs w:val="24"/>
          <w:shd w:val="clear" w:color="auto" w:fill="FFFFFF"/>
        </w:rPr>
      </w:pPr>
      <w:r w:rsidRPr="00DC714E">
        <w:rPr>
          <w:rFonts w:cstheme="minorHAnsi"/>
          <w:b/>
          <w:sz w:val="24"/>
          <w:szCs w:val="24"/>
          <w:shd w:val="clear" w:color="auto" w:fill="FFFFFF"/>
        </w:rPr>
        <w:t>Introduction</w:t>
      </w:r>
    </w:p>
    <w:p w14:paraId="64169998" w14:textId="77777777" w:rsidR="00DC714E" w:rsidRDefault="00DC714E" w:rsidP="001E19CA">
      <w:pPr>
        <w:autoSpaceDE w:val="0"/>
        <w:autoSpaceDN w:val="0"/>
        <w:adjustRightInd w:val="0"/>
        <w:spacing w:after="0" w:line="360" w:lineRule="auto"/>
        <w:jc w:val="both"/>
        <w:rPr>
          <w:rFonts w:ascii="Open Sans" w:hAnsi="Open Sans" w:cs="Open Sans"/>
          <w:color w:val="333333"/>
          <w:shd w:val="clear" w:color="auto" w:fill="FFFFFF"/>
        </w:rPr>
      </w:pPr>
      <w:r>
        <w:rPr>
          <w:rFonts w:ascii="Open Sans" w:hAnsi="Open Sans" w:cs="Open Sans"/>
          <w:color w:val="333333"/>
          <w:shd w:val="clear" w:color="auto" w:fill="FFFFFF"/>
        </w:rPr>
        <w:t>From the manuscript you first submit to a journal, through peer review and revisions, to the final article that’s published on the website, there can be several versions of your paper.</w:t>
      </w:r>
    </w:p>
    <w:p w14:paraId="520F41AC" w14:textId="77777777" w:rsidR="00DC714E" w:rsidRDefault="00DC714E" w:rsidP="00DC714E">
      <w:pPr>
        <w:pStyle w:val="NormalWeb"/>
        <w:shd w:val="clear" w:color="auto" w:fill="FFFFFF"/>
        <w:spacing w:before="0" w:beforeAutospacing="0"/>
        <w:rPr>
          <w:rFonts w:ascii="Open Sans" w:hAnsi="Open Sans" w:cs="Open Sans"/>
          <w:color w:val="333333"/>
        </w:rPr>
      </w:pPr>
    </w:p>
    <w:p w14:paraId="2E573B14" w14:textId="77777777" w:rsidR="00DC714E" w:rsidRDefault="00DC714E" w:rsidP="00DC714E">
      <w:pPr>
        <w:pStyle w:val="NormalWeb"/>
        <w:shd w:val="clear" w:color="auto" w:fill="FFFFFF"/>
        <w:spacing w:before="0" w:beforeAutospacing="0"/>
        <w:rPr>
          <w:rStyle w:val="Emphasis"/>
          <w:rFonts w:ascii="Open Sans" w:hAnsi="Open Sans" w:cs="Open Sans"/>
          <w:color w:val="333333"/>
        </w:rPr>
      </w:pPr>
      <w:r>
        <w:rPr>
          <w:rFonts w:ascii="Open Sans" w:hAnsi="Open Sans" w:cs="Open Sans"/>
          <w:color w:val="333333"/>
        </w:rPr>
        <w:t xml:space="preserve">The AOM is defined by the National Information Standards Organization (NISO) </w:t>
      </w:r>
      <w:proofErr w:type="spellStart"/>
      <w:proofErr w:type="gramStart"/>
      <w:r>
        <w:rPr>
          <w:rFonts w:ascii="Open Sans" w:hAnsi="Open Sans" w:cs="Open Sans"/>
          <w:color w:val="333333"/>
        </w:rPr>
        <w:t>as:</w:t>
      </w:r>
      <w:r>
        <w:rPr>
          <w:rStyle w:val="Emphasis"/>
          <w:rFonts w:ascii="Open Sans" w:hAnsi="Open Sans" w:cs="Open Sans"/>
          <w:color w:val="333333"/>
        </w:rPr>
        <w:t>“</w:t>
      </w:r>
      <w:proofErr w:type="gramEnd"/>
      <w:r>
        <w:rPr>
          <w:rStyle w:val="Emphasis"/>
          <w:rFonts w:ascii="Open Sans" w:hAnsi="Open Sans" w:cs="Open Sans"/>
          <w:color w:val="333333"/>
        </w:rPr>
        <w:t>Any</w:t>
      </w:r>
      <w:proofErr w:type="spellEnd"/>
      <w:r>
        <w:rPr>
          <w:rStyle w:val="Emphasis"/>
          <w:rFonts w:ascii="Open Sans" w:hAnsi="Open Sans" w:cs="Open Sans"/>
          <w:color w:val="333333"/>
        </w:rPr>
        <w:t xml:space="preserve"> version of a journal article that is considered by the author to be of sufficient quality to be submitted for formal peer review.”</w:t>
      </w:r>
    </w:p>
    <w:p w14:paraId="63822EB4" w14:textId="77777777" w:rsidR="00DC714E" w:rsidRDefault="00F62B89" w:rsidP="00DC714E">
      <w:pPr>
        <w:pStyle w:val="NormalWeb"/>
        <w:shd w:val="clear" w:color="auto" w:fill="FFFFFF"/>
        <w:spacing w:before="0" w:beforeAutospacing="0"/>
        <w:rPr>
          <w:rFonts w:ascii="Open Sans" w:hAnsi="Open Sans" w:cs="Open Sans"/>
          <w:color w:val="333333"/>
        </w:rPr>
      </w:pPr>
      <w:r>
        <w:rPr>
          <w:rFonts w:ascii="Roboto" w:hAnsi="Roboto"/>
          <w:color w:val="423F3E"/>
          <w:sz w:val="23"/>
          <w:szCs w:val="23"/>
        </w:rPr>
        <w:t>A preprint is any “complete written description of a body of scientific work that has yet to be published in a journal” (Bourne et al., 2017). This can include data, poster presentations, or even completed manuscripts that haven’t been submitted for peer review.</w:t>
      </w:r>
    </w:p>
    <w:p w14:paraId="14469153" w14:textId="77777777" w:rsidR="00DC714E" w:rsidRDefault="00DC714E" w:rsidP="001E19CA">
      <w:pPr>
        <w:autoSpaceDE w:val="0"/>
        <w:autoSpaceDN w:val="0"/>
        <w:adjustRightInd w:val="0"/>
        <w:spacing w:after="0" w:line="360" w:lineRule="auto"/>
        <w:jc w:val="both"/>
        <w:rPr>
          <w:rFonts w:cstheme="minorHAnsi"/>
          <w:b/>
          <w:sz w:val="24"/>
          <w:szCs w:val="24"/>
          <w:shd w:val="clear" w:color="auto" w:fill="FFFFFF"/>
        </w:rPr>
      </w:pPr>
    </w:p>
    <w:p w14:paraId="7241E023" w14:textId="77777777" w:rsidR="00DC714E" w:rsidRDefault="00DC714E" w:rsidP="001E19CA">
      <w:pPr>
        <w:autoSpaceDE w:val="0"/>
        <w:autoSpaceDN w:val="0"/>
        <w:adjustRightInd w:val="0"/>
        <w:spacing w:after="0" w:line="360" w:lineRule="auto"/>
        <w:jc w:val="both"/>
        <w:rPr>
          <w:rFonts w:cstheme="minorHAnsi"/>
          <w:b/>
          <w:sz w:val="24"/>
          <w:szCs w:val="24"/>
          <w:shd w:val="clear" w:color="auto" w:fill="FFFFFF"/>
        </w:rPr>
      </w:pPr>
    </w:p>
    <w:p w14:paraId="64408763" w14:textId="77777777" w:rsidR="00DC714E" w:rsidRPr="00DC714E" w:rsidRDefault="00DC714E" w:rsidP="001E19CA">
      <w:pPr>
        <w:autoSpaceDE w:val="0"/>
        <w:autoSpaceDN w:val="0"/>
        <w:adjustRightInd w:val="0"/>
        <w:spacing w:after="0" w:line="360" w:lineRule="auto"/>
        <w:jc w:val="both"/>
        <w:rPr>
          <w:rFonts w:cstheme="minorHAnsi"/>
          <w:b/>
          <w:sz w:val="24"/>
          <w:szCs w:val="24"/>
          <w:shd w:val="clear" w:color="auto" w:fill="FFFFFF"/>
        </w:rPr>
      </w:pPr>
    </w:p>
    <w:tbl>
      <w:tblPr>
        <w:tblStyle w:val="TableGrid"/>
        <w:tblW w:w="0" w:type="auto"/>
        <w:tblInd w:w="988" w:type="dxa"/>
        <w:tblLook w:val="04A0" w:firstRow="1" w:lastRow="0" w:firstColumn="1" w:lastColumn="0" w:noHBand="0" w:noVBand="1"/>
      </w:tblPr>
      <w:tblGrid>
        <w:gridCol w:w="850"/>
        <w:gridCol w:w="851"/>
        <w:gridCol w:w="1417"/>
        <w:gridCol w:w="1843"/>
        <w:gridCol w:w="1843"/>
      </w:tblGrid>
      <w:tr w:rsidR="007A21C5" w14:paraId="1C4B0F9B" w14:textId="77777777" w:rsidTr="007E10B1">
        <w:tc>
          <w:tcPr>
            <w:tcW w:w="850" w:type="dxa"/>
          </w:tcPr>
          <w:p w14:paraId="1A96D7BB"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roofErr w:type="spellStart"/>
            <w:r>
              <w:rPr>
                <w:rFonts w:cstheme="minorHAnsi"/>
                <w:sz w:val="24"/>
                <w:szCs w:val="24"/>
                <w:shd w:val="clear" w:color="auto" w:fill="FFFFFF"/>
              </w:rPr>
              <w:t>Sl.No</w:t>
            </w:r>
            <w:proofErr w:type="spellEnd"/>
            <w:r>
              <w:rPr>
                <w:rFonts w:cstheme="minorHAnsi"/>
                <w:sz w:val="24"/>
                <w:szCs w:val="24"/>
                <w:shd w:val="clear" w:color="auto" w:fill="FFFFFF"/>
              </w:rPr>
              <w:t>.</w:t>
            </w:r>
          </w:p>
        </w:tc>
        <w:tc>
          <w:tcPr>
            <w:tcW w:w="851" w:type="dxa"/>
          </w:tcPr>
          <w:p w14:paraId="27DED097"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Title</w:t>
            </w:r>
          </w:p>
        </w:tc>
        <w:tc>
          <w:tcPr>
            <w:tcW w:w="1417" w:type="dxa"/>
          </w:tcPr>
          <w:p w14:paraId="29F4F86A"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Publisher</w:t>
            </w:r>
          </w:p>
        </w:tc>
        <w:tc>
          <w:tcPr>
            <w:tcW w:w="1843" w:type="dxa"/>
          </w:tcPr>
          <w:p w14:paraId="35EABFE4"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Affiliated Society</w:t>
            </w:r>
          </w:p>
        </w:tc>
        <w:tc>
          <w:tcPr>
            <w:tcW w:w="1843" w:type="dxa"/>
          </w:tcPr>
          <w:p w14:paraId="09D06F50"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Starting Year of Publication</w:t>
            </w:r>
          </w:p>
        </w:tc>
      </w:tr>
      <w:tr w:rsidR="007A21C5" w14:paraId="18C55998" w14:textId="77777777" w:rsidTr="007E10B1">
        <w:tc>
          <w:tcPr>
            <w:tcW w:w="850" w:type="dxa"/>
          </w:tcPr>
          <w:p w14:paraId="06A261FD"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851" w:type="dxa"/>
          </w:tcPr>
          <w:p w14:paraId="1E95CEA0"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417" w:type="dxa"/>
          </w:tcPr>
          <w:p w14:paraId="74248DF0"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39662AC5"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1F83A7B4"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r>
      <w:tr w:rsidR="007A21C5" w14:paraId="0BB0407B" w14:textId="77777777" w:rsidTr="007E10B1">
        <w:tc>
          <w:tcPr>
            <w:tcW w:w="850" w:type="dxa"/>
          </w:tcPr>
          <w:p w14:paraId="660ACE58"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851" w:type="dxa"/>
          </w:tcPr>
          <w:p w14:paraId="479AF3AA"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417" w:type="dxa"/>
          </w:tcPr>
          <w:p w14:paraId="1E82979A"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12FEB66E"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50A95860"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r>
      <w:tr w:rsidR="007A21C5" w14:paraId="2DA9B65E" w14:textId="77777777" w:rsidTr="007E10B1">
        <w:tc>
          <w:tcPr>
            <w:tcW w:w="850" w:type="dxa"/>
          </w:tcPr>
          <w:p w14:paraId="03A66DDA"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851" w:type="dxa"/>
          </w:tcPr>
          <w:p w14:paraId="22D0FC65"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417" w:type="dxa"/>
          </w:tcPr>
          <w:p w14:paraId="466F6B02"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3B690E08"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484C2EBC"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r>
      <w:tr w:rsidR="007A21C5" w14:paraId="27340BC6" w14:textId="77777777" w:rsidTr="007E10B1">
        <w:tc>
          <w:tcPr>
            <w:tcW w:w="850" w:type="dxa"/>
          </w:tcPr>
          <w:p w14:paraId="62C60658"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851" w:type="dxa"/>
          </w:tcPr>
          <w:p w14:paraId="61EE41C6"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417" w:type="dxa"/>
          </w:tcPr>
          <w:p w14:paraId="0C5E20AD"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121834DD"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45B0B59C"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r>
      <w:tr w:rsidR="007A21C5" w14:paraId="1FE6E98F" w14:textId="77777777" w:rsidTr="007E10B1">
        <w:tc>
          <w:tcPr>
            <w:tcW w:w="850" w:type="dxa"/>
          </w:tcPr>
          <w:p w14:paraId="12B46633"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851" w:type="dxa"/>
          </w:tcPr>
          <w:p w14:paraId="2DC18001"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417" w:type="dxa"/>
          </w:tcPr>
          <w:p w14:paraId="73587928"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242CE8B9"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69E8B7FA"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r>
      <w:tr w:rsidR="007A21C5" w14:paraId="1EFAB975" w14:textId="77777777" w:rsidTr="007E10B1">
        <w:tc>
          <w:tcPr>
            <w:tcW w:w="850" w:type="dxa"/>
          </w:tcPr>
          <w:p w14:paraId="789AD076"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851" w:type="dxa"/>
          </w:tcPr>
          <w:p w14:paraId="663C43F0"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417" w:type="dxa"/>
          </w:tcPr>
          <w:p w14:paraId="31073ECE"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7E013EE5"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10D6E422"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r>
      <w:tr w:rsidR="007A21C5" w14:paraId="3B0598C6" w14:textId="77777777" w:rsidTr="007E10B1">
        <w:tc>
          <w:tcPr>
            <w:tcW w:w="850" w:type="dxa"/>
          </w:tcPr>
          <w:p w14:paraId="13A96D76"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851" w:type="dxa"/>
          </w:tcPr>
          <w:p w14:paraId="65D904EF"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417" w:type="dxa"/>
          </w:tcPr>
          <w:p w14:paraId="519F2016"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609ECEF9"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c>
          <w:tcPr>
            <w:tcW w:w="1843" w:type="dxa"/>
          </w:tcPr>
          <w:p w14:paraId="4776FE46" w14:textId="77777777" w:rsidR="007A21C5" w:rsidRDefault="007A21C5" w:rsidP="001E19CA">
            <w:pPr>
              <w:autoSpaceDE w:val="0"/>
              <w:autoSpaceDN w:val="0"/>
              <w:adjustRightInd w:val="0"/>
              <w:spacing w:line="360" w:lineRule="auto"/>
              <w:jc w:val="both"/>
              <w:rPr>
                <w:rFonts w:cstheme="minorHAnsi"/>
                <w:sz w:val="24"/>
                <w:szCs w:val="24"/>
                <w:shd w:val="clear" w:color="auto" w:fill="FFFFFF"/>
              </w:rPr>
            </w:pPr>
          </w:p>
        </w:tc>
      </w:tr>
    </w:tbl>
    <w:p w14:paraId="60C2B97F" w14:textId="77777777" w:rsidR="007A21C5" w:rsidRDefault="007A21C5" w:rsidP="001E19CA">
      <w:pPr>
        <w:autoSpaceDE w:val="0"/>
        <w:autoSpaceDN w:val="0"/>
        <w:adjustRightInd w:val="0"/>
        <w:spacing w:after="0" w:line="360" w:lineRule="auto"/>
        <w:jc w:val="both"/>
        <w:rPr>
          <w:rFonts w:cstheme="minorHAnsi"/>
          <w:sz w:val="24"/>
          <w:szCs w:val="24"/>
          <w:shd w:val="clear" w:color="auto" w:fill="FFFFFF"/>
        </w:rPr>
      </w:pPr>
    </w:p>
    <w:p w14:paraId="2953279D" w14:textId="77777777" w:rsidR="0037468F" w:rsidRDefault="0037468F" w:rsidP="001E19CA">
      <w:pPr>
        <w:autoSpaceDE w:val="0"/>
        <w:autoSpaceDN w:val="0"/>
        <w:adjustRightInd w:val="0"/>
        <w:spacing w:after="0" w:line="360" w:lineRule="auto"/>
        <w:jc w:val="both"/>
        <w:rPr>
          <w:rFonts w:cstheme="minorHAnsi"/>
          <w:sz w:val="24"/>
          <w:szCs w:val="24"/>
          <w:shd w:val="clear" w:color="auto" w:fill="FFFFFF"/>
        </w:rPr>
      </w:pPr>
    </w:p>
    <w:p w14:paraId="762369C7" w14:textId="77777777" w:rsidR="007A21C5" w:rsidRDefault="007A21C5" w:rsidP="001E19CA">
      <w:pPr>
        <w:autoSpaceDE w:val="0"/>
        <w:autoSpaceDN w:val="0"/>
        <w:adjustRightInd w:val="0"/>
        <w:spacing w:after="0" w:line="360" w:lineRule="auto"/>
        <w:jc w:val="both"/>
        <w:rPr>
          <w:rFonts w:cstheme="minorHAnsi"/>
          <w:sz w:val="24"/>
          <w:szCs w:val="24"/>
          <w:shd w:val="clear" w:color="auto" w:fill="FFFFFF"/>
        </w:rPr>
      </w:pPr>
    </w:p>
    <w:p w14:paraId="479DFCE4" w14:textId="77777777" w:rsidR="007A21C5" w:rsidRDefault="007A21C5" w:rsidP="001E19CA">
      <w:pPr>
        <w:autoSpaceDE w:val="0"/>
        <w:autoSpaceDN w:val="0"/>
        <w:adjustRightInd w:val="0"/>
        <w:spacing w:after="0" w:line="360" w:lineRule="auto"/>
        <w:jc w:val="both"/>
        <w:rPr>
          <w:rFonts w:cstheme="minorHAnsi"/>
          <w:sz w:val="24"/>
          <w:szCs w:val="24"/>
          <w:shd w:val="clear" w:color="auto" w:fill="FFFFFF"/>
        </w:rPr>
      </w:pPr>
    </w:p>
    <w:p w14:paraId="12FB8B93" w14:textId="77777777" w:rsidR="00E94A61" w:rsidRDefault="001E19CA" w:rsidP="001E19CA">
      <w:pPr>
        <w:autoSpaceDE w:val="0"/>
        <w:autoSpaceDN w:val="0"/>
        <w:adjustRightInd w:val="0"/>
        <w:spacing w:after="0" w:line="360" w:lineRule="auto"/>
        <w:jc w:val="both"/>
        <w:rPr>
          <w:rFonts w:ascii="AdvOT46dcae81" w:hAnsi="AdvOT46dcae81" w:cs="AdvOT46dcae81"/>
          <w:sz w:val="19"/>
          <w:szCs w:val="19"/>
        </w:rPr>
      </w:pPr>
      <w:r>
        <w:rPr>
          <w:rFonts w:cstheme="minorHAnsi"/>
          <w:sz w:val="24"/>
          <w:szCs w:val="24"/>
          <w:shd w:val="clear" w:color="auto" w:fill="FFFFFF"/>
        </w:rPr>
        <w:t xml:space="preserve">The </w:t>
      </w:r>
      <w:r w:rsidR="00E94A61">
        <w:rPr>
          <w:rFonts w:ascii="AdvOT46dcae81" w:hAnsi="AdvOT46dcae81" w:cs="AdvOT46dcae81"/>
          <w:sz w:val="19"/>
          <w:szCs w:val="19"/>
        </w:rPr>
        <w:t>preprints are often not indexed by mainstream</w:t>
      </w:r>
    </w:p>
    <w:p w14:paraId="57264A96" w14:textId="77777777" w:rsidR="00427004" w:rsidRDefault="00E94A61" w:rsidP="00E94A61">
      <w:pPr>
        <w:spacing w:line="360" w:lineRule="auto"/>
        <w:jc w:val="both"/>
        <w:rPr>
          <w:rFonts w:cstheme="minorHAnsi"/>
          <w:sz w:val="24"/>
          <w:szCs w:val="24"/>
          <w:shd w:val="clear" w:color="auto" w:fill="FFFFFF"/>
        </w:rPr>
      </w:pPr>
      <w:r>
        <w:rPr>
          <w:rFonts w:ascii="AdvOT46dcae81" w:hAnsi="AdvOT46dcae81" w:cs="AdvOT46dcae81"/>
          <w:sz w:val="19"/>
          <w:szCs w:val="19"/>
        </w:rPr>
        <w:t>bibliographic services.</w:t>
      </w:r>
    </w:p>
    <w:p w14:paraId="73084191"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there is a strong imperative for the</w:t>
      </w:r>
    </w:p>
    <w:p w14:paraId="1EC85927"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palaeontology research community to ensure that</w:t>
      </w:r>
    </w:p>
    <w:p w14:paraId="07110237"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there is broad-scale access to the research that</w:t>
      </w:r>
    </w:p>
    <w:p w14:paraId="328EB1AD" w14:textId="77777777" w:rsidR="00E94A61" w:rsidRPr="00060432" w:rsidRDefault="00E94A61" w:rsidP="00E94A61">
      <w:pPr>
        <w:spacing w:line="360" w:lineRule="auto"/>
        <w:jc w:val="both"/>
        <w:rPr>
          <w:rFonts w:cstheme="minorHAnsi"/>
          <w:sz w:val="24"/>
          <w:szCs w:val="24"/>
        </w:rPr>
      </w:pPr>
      <w:r>
        <w:rPr>
          <w:rFonts w:ascii="Arial" w:hAnsi="Arial" w:cs="Arial"/>
          <w:sz w:val="20"/>
          <w:szCs w:val="20"/>
        </w:rPr>
        <w:t>they produce</w:t>
      </w:r>
    </w:p>
    <w:p w14:paraId="27430E72" w14:textId="77777777" w:rsidR="00427004" w:rsidRDefault="00427004">
      <w:pPr>
        <w:rPr>
          <w:rFonts w:ascii="Helvetica" w:hAnsi="Helvetica" w:cs="Helvetica"/>
          <w:sz w:val="19"/>
          <w:szCs w:val="19"/>
        </w:rPr>
      </w:pPr>
    </w:p>
    <w:p w14:paraId="528DE1A9" w14:textId="77777777" w:rsidR="00B212A1" w:rsidRDefault="00B212A1">
      <w:pPr>
        <w:rPr>
          <w:rFonts w:ascii="Helvetica" w:hAnsi="Helvetica" w:cs="Helvetica"/>
          <w:sz w:val="19"/>
          <w:szCs w:val="19"/>
        </w:rPr>
      </w:pPr>
      <w:proofErr w:type="spellStart"/>
      <w:r>
        <w:rPr>
          <w:rFonts w:ascii="Helvetica" w:hAnsi="Helvetica" w:cs="Helvetica"/>
          <w:sz w:val="19"/>
          <w:szCs w:val="19"/>
        </w:rPr>
        <w:t>medRxiv</w:t>
      </w:r>
      <w:proofErr w:type="spellEnd"/>
    </w:p>
    <w:p w14:paraId="2816FDB7" w14:textId="77777777" w:rsidR="00B212A1" w:rsidRDefault="00B52194">
      <w:r w:rsidRPr="00B52194">
        <w:t xml:space="preserve">One </w:t>
      </w:r>
      <w:proofErr w:type="gramStart"/>
      <w:r w:rsidRPr="00B52194">
        <w:t>of  the</w:t>
      </w:r>
      <w:proofErr w:type="gramEnd"/>
      <w:r w:rsidRPr="00B52194">
        <w:t xml:space="preserve">  first  in  this  new  wave  was  the  discipline-based  server, </w:t>
      </w:r>
      <w:proofErr w:type="spellStart"/>
      <w:r w:rsidRPr="00B52194">
        <w:t>bioRxiv</w:t>
      </w:r>
      <w:proofErr w:type="spellEnd"/>
      <w:r w:rsidRPr="00B52194">
        <w:t xml:space="preserve">  –  set  up  by  the  Cold  Spring  </w:t>
      </w:r>
      <w:proofErr w:type="spellStart"/>
      <w:r w:rsidRPr="00B52194">
        <w:t>Harbor</w:t>
      </w:r>
      <w:proofErr w:type="spellEnd"/>
      <w:r w:rsidRPr="00B52194">
        <w:t xml:space="preserve">  Laboratory  in  2013 to  cover  the  life  sciences</w:t>
      </w:r>
    </w:p>
    <w:p w14:paraId="15102FD9" w14:textId="77777777" w:rsidR="00412B1C" w:rsidRDefault="00412B1C">
      <w:pPr>
        <w:rPr>
          <w:rFonts w:ascii="MyriadPro-Regular" w:hAnsi="MyriadPro-Regular" w:cs="MyriadPro-Regular"/>
          <w:sz w:val="23"/>
          <w:szCs w:val="23"/>
        </w:rPr>
      </w:pPr>
      <w:proofErr w:type="spellStart"/>
      <w:r>
        <w:rPr>
          <w:rFonts w:ascii="MyriadPro-Regular" w:hAnsi="MyriadPro-Regular" w:cs="MyriadPro-Regular"/>
          <w:sz w:val="23"/>
          <w:szCs w:val="23"/>
        </w:rPr>
        <w:t>RePec</w:t>
      </w:r>
      <w:proofErr w:type="spellEnd"/>
    </w:p>
    <w:p w14:paraId="29084D8F" w14:textId="77777777" w:rsidR="00412B1C" w:rsidRDefault="00412B1C">
      <w:pPr>
        <w:rPr>
          <w:rFonts w:ascii="MyriadPro-Regular" w:hAnsi="MyriadPro-Regular" w:cs="MyriadPro-Regular"/>
          <w:sz w:val="23"/>
          <w:szCs w:val="23"/>
        </w:rPr>
      </w:pPr>
      <w:proofErr w:type="spellStart"/>
      <w:r>
        <w:rPr>
          <w:rFonts w:ascii="MyriadPro-Regular" w:hAnsi="MyriadPro-Regular" w:cs="MyriadPro-Regular"/>
          <w:sz w:val="23"/>
          <w:szCs w:val="23"/>
        </w:rPr>
        <w:t>arXiv</w:t>
      </w:r>
      <w:proofErr w:type="spellEnd"/>
      <w:r>
        <w:rPr>
          <w:rFonts w:ascii="MyriadPro-Regular" w:hAnsi="MyriadPro-Regular" w:cs="MyriadPro-Regular"/>
          <w:sz w:val="23"/>
          <w:szCs w:val="23"/>
        </w:rPr>
        <w:t>,</w:t>
      </w:r>
    </w:p>
    <w:p w14:paraId="3E94237E" w14:textId="77777777" w:rsidR="00412B1C" w:rsidRDefault="00412B1C">
      <w:pPr>
        <w:rPr>
          <w:rFonts w:ascii="MyriadPro-Regular" w:hAnsi="MyriadPro-Regular" w:cs="MyriadPro-Regular"/>
          <w:sz w:val="23"/>
          <w:szCs w:val="23"/>
        </w:rPr>
      </w:pPr>
      <w:r>
        <w:rPr>
          <w:rFonts w:ascii="MyriadPro-Regular" w:hAnsi="MyriadPro-Regular" w:cs="MyriadPro-Regular"/>
          <w:sz w:val="23"/>
          <w:szCs w:val="23"/>
        </w:rPr>
        <w:t>SSRN</w:t>
      </w:r>
    </w:p>
    <w:p w14:paraId="5422699F"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Preprints are also increasingly indexed in large scholarly databases and search engines (</w:t>
      </w:r>
      <w:r>
        <w:rPr>
          <w:rFonts w:ascii="MyriadPro-It" w:eastAsia="MyriadPro-It" w:hAnsi="MyriadPro-Regular" w:cs="MyriadPro-It"/>
          <w:i/>
          <w:iCs/>
          <w:sz w:val="23"/>
          <w:szCs w:val="23"/>
        </w:rPr>
        <w:t>e.g.</w:t>
      </w:r>
      <w:r>
        <w:rPr>
          <w:rFonts w:ascii="MyriadPro-Regular" w:hAnsi="MyriadPro-Regular" w:cs="MyriadPro-Regular"/>
          <w:sz w:val="23"/>
          <w:szCs w:val="23"/>
        </w:rPr>
        <w:t xml:space="preserve">, PubMed, </w:t>
      </w:r>
      <w:proofErr w:type="spellStart"/>
      <w:r>
        <w:rPr>
          <w:rFonts w:ascii="MyriadPro-Regular" w:hAnsi="MyriadPro-Regular" w:cs="MyriadPro-Regular"/>
          <w:sz w:val="23"/>
          <w:szCs w:val="23"/>
        </w:rPr>
        <w:t>Crossref</w:t>
      </w:r>
      <w:proofErr w:type="spellEnd"/>
      <w:r>
        <w:rPr>
          <w:rFonts w:ascii="MyriadPro-Regular" w:hAnsi="MyriadPro-Regular" w:cs="MyriadPro-Regular"/>
          <w:sz w:val="23"/>
          <w:szCs w:val="23"/>
        </w:rPr>
        <w:t>, Lens, Dimensions, Microsoft Academic), and major manual referencing</w:t>
      </w:r>
    </w:p>
    <w:p w14:paraId="473AD23A"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styles have issued guidance on how preprints should be cited in scholarly papers</w:t>
      </w:r>
    </w:p>
    <w:p w14:paraId="369FD044"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p>
    <w:p w14:paraId="2C058856"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In 2020, the COVID-19 pandemic led to a large increase in the posting of preprints, as well as scrutiny and the number of comments they received on both social media platforms</w:t>
      </w:r>
    </w:p>
    <w:p w14:paraId="6B4C1798"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6131FF94"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NIH only changed their policy to allow preprints to be cited in grant applications in</w:t>
      </w:r>
    </w:p>
    <w:p w14:paraId="5626B731"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March of 2017; and some journals only very recently allowed preprints to be cited in articles</w:t>
      </w:r>
    </w:p>
    <w:p w14:paraId="44D4F3F9" w14:textId="77777777" w:rsidR="00F62B89" w:rsidRDefault="00F62B89" w:rsidP="00F62B89">
      <w:pPr>
        <w:pStyle w:val="NormalWeb"/>
        <w:spacing w:before="0" w:beforeAutospacing="0" w:after="420" w:afterAutospacing="0"/>
        <w:rPr>
          <w:rFonts w:ascii="Roboto" w:hAnsi="Roboto"/>
          <w:color w:val="423F3E"/>
          <w:sz w:val="23"/>
          <w:szCs w:val="23"/>
        </w:rPr>
      </w:pPr>
      <w:r>
        <w:rPr>
          <w:rFonts w:ascii="Lato" w:hAnsi="Lato"/>
          <w:color w:val="1A1A1A"/>
          <w:sz w:val="20"/>
          <w:szCs w:val="20"/>
        </w:rPr>
        <w:lastRenderedPageBreak/>
        <w:t>Recognizing the growing interest in preprints, NLM is today launching the first phase of the </w:t>
      </w:r>
      <w:hyperlink r:id="rId6" w:history="1">
        <w:r>
          <w:rPr>
            <w:rStyle w:val="Hyperlink"/>
            <w:rFonts w:ascii="Lato" w:hAnsi="Lato"/>
            <w:color w:val="007ACC"/>
            <w:sz w:val="20"/>
            <w:szCs w:val="20"/>
          </w:rPr>
          <w:t>NIH Preprint Pilot</w:t>
        </w:r>
      </w:hyperlink>
      <w:r>
        <w:rPr>
          <w:rFonts w:ascii="Lato" w:hAnsi="Lato"/>
          <w:color w:val="1A1A1A"/>
          <w:sz w:val="20"/>
          <w:szCs w:val="20"/>
        </w:rPr>
        <w:t>, which will test the viability of making preprints searchable in </w:t>
      </w:r>
      <w:hyperlink r:id="rId7" w:history="1">
        <w:r>
          <w:rPr>
            <w:rStyle w:val="Hyperlink"/>
            <w:rFonts w:ascii="Lato" w:hAnsi="Lato"/>
            <w:color w:val="007ACC"/>
            <w:sz w:val="20"/>
            <w:szCs w:val="20"/>
          </w:rPr>
          <w:t>PubMed Central (PMC)</w:t>
        </w:r>
      </w:hyperlink>
      <w:r>
        <w:rPr>
          <w:rFonts w:ascii="Lato" w:hAnsi="Lato"/>
          <w:color w:val="1A1A1A"/>
          <w:sz w:val="20"/>
          <w:szCs w:val="20"/>
        </w:rPr>
        <w:t> and, by extension, discoverable in </w:t>
      </w:r>
      <w:hyperlink r:id="rId8" w:history="1">
        <w:r>
          <w:rPr>
            <w:rStyle w:val="Hyperlink"/>
            <w:rFonts w:ascii="Lato" w:hAnsi="Lato"/>
            <w:color w:val="007ACC"/>
            <w:sz w:val="20"/>
            <w:szCs w:val="20"/>
          </w:rPr>
          <w:t>PubMed</w:t>
        </w:r>
      </w:hyperlink>
      <w:r>
        <w:rPr>
          <w:rFonts w:ascii="Lato" w:hAnsi="Lato"/>
          <w:color w:val="1A1A1A"/>
          <w:sz w:val="20"/>
          <w:szCs w:val="20"/>
        </w:rPr>
        <w:t xml:space="preserve">, starting with COVID-19 preprints reporting NIH-supported research on </w:t>
      </w:r>
      <w:hyperlink r:id="rId9" w:history="1">
        <w:r>
          <w:rPr>
            <w:rStyle w:val="Hyperlink"/>
            <w:rFonts w:ascii="Lato" w:hAnsi="Lato"/>
            <w:color w:val="686868"/>
            <w:sz w:val="16"/>
            <w:szCs w:val="16"/>
          </w:rPr>
          <w:t>June 9, 2020</w:t>
        </w:r>
      </w:hyperlink>
      <w:r>
        <w:t xml:space="preserve">. </w:t>
      </w:r>
      <w:r>
        <w:rPr>
          <w:rFonts w:ascii="Roboto" w:hAnsi="Roboto"/>
          <w:color w:val="423F3E"/>
          <w:sz w:val="23"/>
          <w:szCs w:val="23"/>
        </w:rPr>
        <w:t> </w:t>
      </w:r>
    </w:p>
    <w:p w14:paraId="17CFBBB8" w14:textId="06534D9B" w:rsidR="00F62B89" w:rsidRDefault="00F62B89" w:rsidP="00F62B89">
      <w:pPr>
        <w:pStyle w:val="NormalWeb"/>
        <w:spacing w:before="0" w:beforeAutospacing="0" w:after="420" w:afterAutospacing="0"/>
        <w:rPr>
          <w:rFonts w:ascii="Lato" w:hAnsi="Lato"/>
          <w:color w:val="1A1A1A"/>
          <w:sz w:val="20"/>
          <w:szCs w:val="20"/>
        </w:rPr>
      </w:pPr>
      <w:r>
        <w:rPr>
          <w:rFonts w:ascii="Roboto" w:hAnsi="Roboto"/>
          <w:color w:val="423F3E"/>
          <w:sz w:val="23"/>
          <w:szCs w:val="23"/>
        </w:rPr>
        <w:t>In fact, recognizing the value of such work, NIH is now doing a </w:t>
      </w:r>
      <w:hyperlink r:id="rId10" w:tgtFrame="_blank" w:history="1">
        <w:r>
          <w:rPr>
            <w:rStyle w:val="Hyperlink"/>
            <w:rFonts w:ascii="Roboto" w:hAnsi="Roboto"/>
            <w:color w:val="00778B"/>
            <w:sz w:val="23"/>
            <w:szCs w:val="23"/>
          </w:rPr>
          <w:t>preprint pilot</w:t>
        </w:r>
      </w:hyperlink>
      <w:r>
        <w:rPr>
          <w:rFonts w:ascii="Roboto" w:hAnsi="Roboto"/>
          <w:color w:val="423F3E"/>
          <w:sz w:val="23"/>
          <w:szCs w:val="23"/>
        </w:rPr>
        <w:t> to include discoverability of that research via PubMed and PubMed Central.</w:t>
      </w:r>
    </w:p>
    <w:p w14:paraId="264EB841" w14:textId="761E942C" w:rsidR="00364AFC" w:rsidRDefault="00ED4A75" w:rsidP="00364AFC">
      <w:pPr>
        <w:autoSpaceDE w:val="0"/>
        <w:autoSpaceDN w:val="0"/>
        <w:adjustRightInd w:val="0"/>
        <w:spacing w:after="0" w:line="240" w:lineRule="auto"/>
        <w:rPr>
          <w:rFonts w:ascii="Open Sans" w:hAnsi="Open Sans" w:cs="Open Sans"/>
          <w:color w:val="666666"/>
          <w:sz w:val="27"/>
          <w:szCs w:val="27"/>
          <w:shd w:val="clear" w:color="auto" w:fill="FFFFFF"/>
        </w:rPr>
      </w:pPr>
      <w:r>
        <w:rPr>
          <w:rFonts w:ascii="Open Sans" w:hAnsi="Open Sans" w:cs="Open Sans"/>
          <w:color w:val="666666"/>
          <w:sz w:val="27"/>
          <w:szCs w:val="27"/>
          <w:shd w:val="clear" w:color="auto" w:fill="FFFFFF"/>
        </w:rPr>
        <w:t>The Coalition for Responsible Sharing (</w:t>
      </w:r>
      <w:proofErr w:type="spellStart"/>
      <w:r>
        <w:rPr>
          <w:rFonts w:ascii="Open Sans" w:hAnsi="Open Sans" w:cs="Open Sans"/>
          <w:color w:val="666666"/>
          <w:sz w:val="27"/>
          <w:szCs w:val="27"/>
          <w:shd w:val="clear" w:color="auto" w:fill="FFFFFF"/>
        </w:rPr>
        <w:t>CfRS</w:t>
      </w:r>
      <w:proofErr w:type="spellEnd"/>
      <w:r>
        <w:rPr>
          <w:rFonts w:ascii="Open Sans" w:hAnsi="Open Sans" w:cs="Open Sans"/>
          <w:color w:val="666666"/>
          <w:sz w:val="27"/>
          <w:szCs w:val="27"/>
          <w:shd w:val="clear" w:color="auto" w:fill="FFFFFF"/>
        </w:rPr>
        <w:t>) was formed in October 2017 by a group of society, not-for-profit and commercial publishers and information analytics businesses to engage with article-sharing platforms and scholarly collaboration networks which undertake, contribute to or otherwise allow or encourage unauthorized posting of publishers’ copyrighted content</w:t>
      </w:r>
      <w:r>
        <w:rPr>
          <w:rFonts w:ascii="Open Sans" w:hAnsi="Open Sans" w:cs="Open Sans"/>
          <w:color w:val="666666"/>
          <w:sz w:val="27"/>
          <w:szCs w:val="27"/>
          <w:shd w:val="clear" w:color="auto" w:fill="FFFFFF"/>
        </w:rPr>
        <w:t>.</w:t>
      </w:r>
    </w:p>
    <w:p w14:paraId="0E2748EF" w14:textId="77777777" w:rsidR="00ED4A75" w:rsidRDefault="00ED4A75" w:rsidP="00364AFC">
      <w:pPr>
        <w:autoSpaceDE w:val="0"/>
        <w:autoSpaceDN w:val="0"/>
        <w:adjustRightInd w:val="0"/>
        <w:spacing w:after="0" w:line="240" w:lineRule="auto"/>
        <w:rPr>
          <w:rFonts w:ascii="MyriadPro-Regular" w:hAnsi="MyriadPro-Regular" w:cs="MyriadPro-Regular"/>
          <w:sz w:val="23"/>
          <w:szCs w:val="23"/>
        </w:rPr>
      </w:pPr>
    </w:p>
    <w:p w14:paraId="34FF6D35"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roofErr w:type="spellStart"/>
      <w:r w:rsidRPr="00364AFC">
        <w:rPr>
          <w:rFonts w:ascii="MyriadPro-Regular" w:hAnsi="MyriadPro-Regular" w:cs="MyriadPro-Regular"/>
          <w:sz w:val="23"/>
          <w:szCs w:val="23"/>
        </w:rPr>
        <w:t>Manyjournalswillnowconsideranarticlethathasappearedona</w:t>
      </w:r>
      <w:proofErr w:type="spellEnd"/>
      <w:r w:rsidRPr="00364AFC">
        <w:rPr>
          <w:rFonts w:ascii="MyriadPro-Regular" w:hAnsi="MyriadPro-Regular" w:cs="MyriadPro-Regular"/>
          <w:sz w:val="23"/>
          <w:szCs w:val="23"/>
        </w:rPr>
        <w:t xml:space="preserve"> </w:t>
      </w:r>
      <w:proofErr w:type="gramStart"/>
      <w:r w:rsidRPr="00364AFC">
        <w:rPr>
          <w:rFonts w:ascii="MyriadPro-Regular" w:hAnsi="MyriadPro-Regular" w:cs="MyriadPro-Regular"/>
          <w:sz w:val="23"/>
          <w:szCs w:val="23"/>
        </w:rPr>
        <w:t>preprintserver,andgrant</w:t>
      </w:r>
      <w:proofErr w:type="gramEnd"/>
      <w:r w:rsidRPr="00364AFC">
        <w:rPr>
          <w:rFonts w:ascii="MyriadPro-Regular" w:hAnsi="MyriadPro-Regular" w:cs="MyriadPro-Regular"/>
          <w:sz w:val="23"/>
          <w:szCs w:val="23"/>
        </w:rPr>
        <w:t>-awardingbodiesonbothsidesoftheAtlanticallowpreprintstobecitedingrantandfel-lowshipapplications</w:t>
      </w:r>
    </w:p>
    <w:p w14:paraId="460D4AB1"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06F74A3C"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preprints</w:t>
      </w:r>
      <w:r>
        <w:rPr>
          <w:rFonts w:ascii="AdvTT4dbafa8d+20" w:hAnsi="AdvTT4dbafa8d+20" w:cs="AdvTT4dbafa8d+20"/>
          <w:sz w:val="18"/>
          <w:szCs w:val="18"/>
        </w:rPr>
        <w:t>’</w:t>
      </w:r>
      <w:r>
        <w:rPr>
          <w:rFonts w:ascii="AdvTT4dbafa8d" w:hAnsi="AdvTT4dbafa8d" w:cs="AdvTT4dbafa8d"/>
          <w:sz w:val="18"/>
          <w:szCs w:val="18"/>
        </w:rPr>
        <w:t xml:space="preserve">, </w:t>
      </w:r>
      <w:r>
        <w:rPr>
          <w:rFonts w:ascii="AdvTT4dbafa8d+20" w:hAnsi="AdvTT4dbafa8d+20" w:cs="AdvTT4dbafa8d+20"/>
          <w:sz w:val="18"/>
          <w:szCs w:val="18"/>
        </w:rPr>
        <w:t>‘</w:t>
      </w:r>
      <w:r>
        <w:rPr>
          <w:rFonts w:ascii="AdvTT4dbafa8d" w:hAnsi="AdvTT4dbafa8d" w:cs="AdvTT4dbafa8d"/>
          <w:sz w:val="18"/>
          <w:szCs w:val="18"/>
        </w:rPr>
        <w:t>working papers</w:t>
      </w:r>
      <w:r>
        <w:rPr>
          <w:rFonts w:ascii="AdvTT4dbafa8d+20" w:hAnsi="AdvTT4dbafa8d+20" w:cs="AdvTT4dbafa8d+20"/>
          <w:sz w:val="18"/>
          <w:szCs w:val="18"/>
        </w:rPr>
        <w:t>’</w:t>
      </w:r>
      <w:r>
        <w:rPr>
          <w:rFonts w:ascii="AdvTT4dbafa8d" w:hAnsi="AdvTT4dbafa8d" w:cs="AdvTT4dbafa8d"/>
          <w:sz w:val="18"/>
          <w:szCs w:val="18"/>
        </w:rPr>
        <w:t xml:space="preserve">, or </w:t>
      </w:r>
      <w:r>
        <w:rPr>
          <w:rFonts w:ascii="AdvTT4dbafa8d+20" w:hAnsi="AdvTT4dbafa8d+20" w:cs="AdvTT4dbafa8d+20"/>
          <w:sz w:val="18"/>
          <w:szCs w:val="18"/>
        </w:rPr>
        <w:t>‘</w:t>
      </w:r>
      <w:r>
        <w:rPr>
          <w:rFonts w:ascii="AdvTT4dbafa8d" w:hAnsi="AdvTT4dbafa8d" w:cs="AdvTT4dbafa8d"/>
          <w:sz w:val="18"/>
          <w:szCs w:val="18"/>
        </w:rPr>
        <w:t>manuscript drafts</w:t>
      </w:r>
      <w:r>
        <w:rPr>
          <w:rFonts w:ascii="AdvTT4dbafa8d+20" w:hAnsi="AdvTT4dbafa8d+20" w:cs="AdvTT4dbafa8d+20"/>
          <w:sz w:val="18"/>
          <w:szCs w:val="18"/>
        </w:rPr>
        <w:t xml:space="preserve">’ </w:t>
      </w:r>
      <w:r>
        <w:rPr>
          <w:rFonts w:ascii="AdvTT4dbafa8d" w:hAnsi="AdvTT4dbafa8d" w:cs="AdvTT4dbafa8d"/>
          <w:sz w:val="18"/>
          <w:szCs w:val="18"/>
        </w:rPr>
        <w:t>depending on the discipline</w:t>
      </w:r>
      <w:r>
        <w:rPr>
          <w:rFonts w:ascii="AdvTT4dbafa8d+20" w:hAnsi="AdvTT4dbafa8d+20" w:cs="AdvTT4dbafa8d+20"/>
          <w:sz w:val="18"/>
          <w:szCs w:val="18"/>
        </w:rPr>
        <w:t>—</w:t>
      </w:r>
      <w:r>
        <w:rPr>
          <w:rFonts w:ascii="AdvTT4dbafa8d" w:hAnsi="AdvTT4dbafa8d" w:cs="AdvTT4dbafa8d"/>
          <w:sz w:val="18"/>
          <w:szCs w:val="18"/>
        </w:rPr>
        <w:t xml:space="preserve">here we refer to these all as </w:t>
      </w:r>
      <w:r>
        <w:rPr>
          <w:rFonts w:ascii="AdvTT4dbafa8d+20" w:hAnsi="AdvTT4dbafa8d+20" w:cs="AdvTT4dbafa8d+20"/>
          <w:sz w:val="18"/>
          <w:szCs w:val="18"/>
        </w:rPr>
        <w:t>‘</w:t>
      </w:r>
      <w:r>
        <w:rPr>
          <w:rFonts w:ascii="AdvTT4dbafa8d" w:hAnsi="AdvTT4dbafa8d" w:cs="AdvTT4dbafa8d"/>
          <w:sz w:val="18"/>
          <w:szCs w:val="18"/>
        </w:rPr>
        <w:t>preprints</w:t>
      </w:r>
      <w:r>
        <w:rPr>
          <w:rFonts w:ascii="AdvTT4dbafa8d+20" w:hAnsi="AdvTT4dbafa8d+20" w:cs="AdvTT4dbafa8d+20"/>
          <w:sz w:val="18"/>
          <w:szCs w:val="18"/>
        </w:rPr>
        <w:t>’</w:t>
      </w:r>
      <w:r>
        <w:rPr>
          <w:rFonts w:ascii="AdvTT4dbafa8d" w:hAnsi="AdvTT4dbafa8d" w:cs="AdvTT4dbafa8d"/>
          <w:sz w:val="18"/>
          <w:szCs w:val="18"/>
        </w:rPr>
        <w:t>, using the emerging standard term</w:t>
      </w:r>
    </w:p>
    <w:p w14:paraId="57E7A2C8"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p>
    <w:p w14:paraId="6C5CBB54" w14:textId="77777777" w:rsidR="00364AFC" w:rsidRDefault="00364AFC" w:rsidP="00364AFC">
      <w:pPr>
        <w:autoSpaceDE w:val="0"/>
        <w:autoSpaceDN w:val="0"/>
        <w:adjustRightInd w:val="0"/>
        <w:spacing w:after="0" w:line="240" w:lineRule="auto"/>
        <w:jc w:val="both"/>
        <w:rPr>
          <w:rFonts w:ascii="AdvTT4dbafa8d" w:hAnsi="AdvTT4dbafa8d" w:cs="AdvTT4dbafa8d"/>
          <w:sz w:val="18"/>
          <w:szCs w:val="18"/>
        </w:rPr>
      </w:pPr>
      <w:r>
        <w:rPr>
          <w:rFonts w:ascii="AdvTT4dbafa8d" w:hAnsi="AdvTT4dbafa8d" w:cs="AdvTT4dbafa8d"/>
          <w:sz w:val="18"/>
          <w:szCs w:val="18"/>
        </w:rPr>
        <w:t xml:space="preserve">Mechanisms for more formal dissemination emerged in the early 1990s with </w:t>
      </w:r>
      <w:proofErr w:type="spellStart"/>
      <w:r>
        <w:rPr>
          <w:rFonts w:ascii="AdvTT4dbafa8d" w:hAnsi="AdvTT4dbafa8d" w:cs="AdvTT4dbafa8d"/>
          <w:sz w:val="18"/>
          <w:szCs w:val="18"/>
        </w:rPr>
        <w:t>arXiv</w:t>
      </w:r>
      <w:proofErr w:type="spellEnd"/>
      <w:r>
        <w:rPr>
          <w:rFonts w:ascii="AdvTT4dbafa8d" w:hAnsi="AdvTT4dbafa8d" w:cs="AdvTT4dbafa8d"/>
          <w:sz w:val="18"/>
          <w:szCs w:val="18"/>
        </w:rPr>
        <w:t>, a repository that now hosts more than 1.3 million preprints in physics, mathematics, and allied fields. SSRN, a preprint service originally for social science research, started in 1994. And, since 2013, more than two dozen preprint services have launched representing a wide variety of topics, indicating growing recognition of this mechanism of communication across all areas of scholarship</w:t>
      </w:r>
    </w:p>
    <w:p w14:paraId="3C8B7C34" w14:textId="77777777" w:rsidR="00364AFC" w:rsidRDefault="00364AFC" w:rsidP="00364AFC">
      <w:pPr>
        <w:autoSpaceDE w:val="0"/>
        <w:autoSpaceDN w:val="0"/>
        <w:adjustRightInd w:val="0"/>
        <w:spacing w:after="0" w:line="240" w:lineRule="auto"/>
        <w:jc w:val="both"/>
        <w:rPr>
          <w:rFonts w:ascii="AdvTT4dbafa8d" w:hAnsi="AdvTT4dbafa8d" w:cs="AdvTT4dbafa8d"/>
          <w:sz w:val="18"/>
          <w:szCs w:val="18"/>
        </w:rPr>
      </w:pPr>
    </w:p>
    <w:p w14:paraId="4E28A5F0"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Although preprints only recently rose to prominence, they were first introduced in 1961 as part of a US National</w:t>
      </w:r>
    </w:p>
    <w:p w14:paraId="0872DA3B" w14:textId="77777777" w:rsidR="00364AFC" w:rsidRDefault="00364AFC" w:rsidP="00364AFC">
      <w:pPr>
        <w:autoSpaceDE w:val="0"/>
        <w:autoSpaceDN w:val="0"/>
        <w:adjustRightInd w:val="0"/>
        <w:spacing w:after="0" w:line="240" w:lineRule="auto"/>
      </w:pPr>
      <w:r>
        <w:rPr>
          <w:rFonts w:ascii="AdvTT4dbafa8d" w:hAnsi="AdvTT4dbafa8d" w:cs="AdvTT4dbafa8d"/>
          <w:sz w:val="18"/>
          <w:szCs w:val="18"/>
        </w:rPr>
        <w:t xml:space="preserve">Institutes of Health project called the Information Exchange Groups </w:t>
      </w:r>
      <w:proofErr w:type="gramStart"/>
      <w:r>
        <w:rPr>
          <w:rFonts w:ascii="AdvTT4dbafa8d" w:hAnsi="AdvTT4dbafa8d" w:cs="AdvTT4dbafa8d"/>
          <w:sz w:val="18"/>
          <w:szCs w:val="18"/>
        </w:rPr>
        <w:t xml:space="preserve">( </w:t>
      </w:r>
      <w:r>
        <w:rPr>
          <w:rFonts w:ascii="Helvetica" w:hAnsi="Helvetica" w:cs="Helvetica"/>
          <w:color w:val="333333"/>
        </w:rPr>
        <w:t>Cobb</w:t>
      </w:r>
      <w:proofErr w:type="gramEnd"/>
      <w:r>
        <w:rPr>
          <w:rFonts w:ascii="Helvetica" w:hAnsi="Helvetica" w:cs="Helvetica"/>
          <w:color w:val="333333"/>
        </w:rPr>
        <w:t xml:space="preserve">  M</w:t>
      </w:r>
      <w:r>
        <w:rPr>
          <w:rFonts w:ascii="Tahoma" w:hAnsi="Tahoma" w:cs="Tahoma"/>
          <w:color w:val="333333"/>
        </w:rPr>
        <w:t>﻿</w:t>
      </w:r>
      <w:r>
        <w:rPr>
          <w:rFonts w:ascii="Helvetica" w:hAnsi="Helvetica" w:cs="Helvetica"/>
          <w:color w:val="333333"/>
        </w:rPr>
        <w:t>.  The prehistory of biology preprints: a forgotten experiment from the 1960s. </w:t>
      </w:r>
      <w:proofErr w:type="gramStart"/>
      <w:r>
        <w:rPr>
          <w:rFonts w:ascii="Tahoma" w:hAnsi="Tahoma" w:cs="Tahoma"/>
          <w:color w:val="333333"/>
        </w:rPr>
        <w:t>﻿</w:t>
      </w:r>
      <w:r>
        <w:rPr>
          <w:rFonts w:ascii="Helvetica" w:hAnsi="Helvetica" w:cs="Helvetica"/>
          <w:color w:val="333333"/>
        </w:rPr>
        <w:t> </w:t>
      </w:r>
      <w:r>
        <w:rPr>
          <w:rFonts w:ascii="Helvetica" w:hAnsi="Helvetica" w:cs="Helvetica"/>
          <w:i/>
          <w:iCs/>
          <w:color w:val="333333"/>
        </w:rPr>
        <w:t> </w:t>
      </w:r>
      <w:proofErr w:type="spellStart"/>
      <w:r>
        <w:rPr>
          <w:rFonts w:ascii="Helvetica" w:hAnsi="Helvetica" w:cs="Helvetica"/>
          <w:i/>
          <w:iCs/>
          <w:color w:val="333333"/>
        </w:rPr>
        <w:t>PLoS</w:t>
      </w:r>
      <w:proofErr w:type="spellEnd"/>
      <w:proofErr w:type="gramEnd"/>
      <w:r>
        <w:rPr>
          <w:rFonts w:ascii="Helvetica" w:hAnsi="Helvetica" w:cs="Helvetica"/>
          <w:i/>
          <w:iCs/>
          <w:color w:val="333333"/>
        </w:rPr>
        <w:t xml:space="preserve"> Biol</w:t>
      </w:r>
      <w:r>
        <w:rPr>
          <w:rFonts w:ascii="Helvetica" w:hAnsi="Helvetica" w:cs="Helvetica"/>
          <w:color w:val="333333"/>
        </w:rPr>
        <w:t>. 2017;15(11):e2003995. doi:</w:t>
      </w:r>
      <w:hyperlink r:id="rId11" w:history="1">
        <w:r>
          <w:rPr>
            <w:rStyle w:val="Hyperlink"/>
            <w:rFonts w:ascii="Helvetica" w:hAnsi="Helvetica" w:cs="Helvetica"/>
            <w:color w:val="981B1E"/>
          </w:rPr>
          <w:t>10.1371/journal.pbio.2003995</w:t>
        </w:r>
      </w:hyperlink>
      <w:r>
        <w:t>)</w:t>
      </w:r>
    </w:p>
    <w:p w14:paraId="392ACE71" w14:textId="77777777" w:rsidR="00364AFC" w:rsidRPr="00364AFC" w:rsidRDefault="00364AFC" w:rsidP="00364AFC">
      <w:pPr>
        <w:autoSpaceDE w:val="0"/>
        <w:autoSpaceDN w:val="0"/>
        <w:adjustRightInd w:val="0"/>
        <w:spacing w:after="0" w:line="240" w:lineRule="auto"/>
        <w:rPr>
          <w:rFonts w:ascii="AdvTT4dbafa8d" w:hAnsi="AdvTT4dbafa8d" w:cs="AdvTT4dbafa8d"/>
          <w:sz w:val="18"/>
          <w:szCs w:val="18"/>
        </w:rPr>
      </w:pPr>
    </w:p>
    <w:p w14:paraId="3A3EAA0E" w14:textId="77777777" w:rsidR="00412B1C" w:rsidRDefault="00364AFC" w:rsidP="00412B1C">
      <w:pPr>
        <w:autoSpaceDE w:val="0"/>
        <w:autoSpaceDN w:val="0"/>
        <w:adjustRightInd w:val="0"/>
        <w:spacing w:after="0" w:line="240" w:lineRule="auto"/>
        <w:rPr>
          <w:rFonts w:ascii="MyriadPro-Regular" w:hAnsi="MyriadPro-Regular" w:cs="MyriadPro-Regular"/>
          <w:sz w:val="23"/>
          <w:szCs w:val="23"/>
        </w:rPr>
      </w:pPr>
      <w:r w:rsidRPr="00364AFC">
        <w:rPr>
          <w:rFonts w:ascii="MyriadPro-Regular" w:hAnsi="MyriadPro-Regular" w:cs="MyriadPro-Regular"/>
          <w:sz w:val="23"/>
          <w:szCs w:val="23"/>
        </w:rPr>
        <w:t>Since</w:t>
      </w:r>
      <w:proofErr w:type="gramStart"/>
      <w:r w:rsidRPr="00364AFC">
        <w:rPr>
          <w:rFonts w:ascii="MyriadPro-Regular" w:hAnsi="MyriadPro-Regular" w:cs="MyriadPro-Regular"/>
          <w:sz w:val="23"/>
          <w:szCs w:val="23"/>
        </w:rPr>
        <w:t>1991,physicistsandmathematicianshavebeenusingthearXivpreprintrepositorytocirculatearticlesandideas</w:t>
      </w:r>
      <w:proofErr w:type="gramEnd"/>
      <w:r w:rsidRPr="00364AFC">
        <w:rPr>
          <w:rFonts w:ascii="MyriadPro-Regular" w:hAnsi="MyriadPro-Regular" w:cs="MyriadPro-Regular"/>
          <w:sz w:val="23"/>
          <w:szCs w:val="23"/>
        </w:rPr>
        <w:t>,totheenvyofmanybiologists.Afternumberoffailedattempts,includingClinMedNetprints(1999–2005)andNaturePrecedings(2007–2012),2 biologyprerintserverswerelaunchedin2013—PeerJPreprintsandbioRxiv(ColdSpringHarborLaboratory)</w:t>
      </w:r>
    </w:p>
    <w:p w14:paraId="110EAF3C"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7B654398" w14:textId="77777777" w:rsidR="00412B1C" w:rsidRDefault="00412B1C" w:rsidP="00412B1C">
      <w:pPr>
        <w:autoSpaceDE w:val="0"/>
        <w:autoSpaceDN w:val="0"/>
        <w:adjustRightInd w:val="0"/>
        <w:spacing w:after="0" w:line="240" w:lineRule="auto"/>
        <w:rPr>
          <w:rFonts w:ascii="MyriadPro-Regular" w:hAnsi="MyriadPro-Regular" w:cs="MyriadPro-Regular"/>
          <w:b/>
          <w:bCs/>
          <w:sz w:val="23"/>
          <w:szCs w:val="23"/>
        </w:rPr>
      </w:pPr>
      <w:r w:rsidRPr="00412B1C">
        <w:rPr>
          <w:rFonts w:ascii="MyriadPro-Regular" w:hAnsi="MyriadPro-Regular" w:cs="MyriadPro-Regular"/>
          <w:b/>
          <w:bCs/>
          <w:sz w:val="23"/>
          <w:szCs w:val="23"/>
        </w:rPr>
        <w:t xml:space="preserve">Methodology </w:t>
      </w:r>
    </w:p>
    <w:p w14:paraId="76DF2443" w14:textId="77777777" w:rsidR="00412B1C" w:rsidRPr="00412B1C" w:rsidRDefault="00412B1C" w:rsidP="00412B1C">
      <w:pPr>
        <w:autoSpaceDE w:val="0"/>
        <w:autoSpaceDN w:val="0"/>
        <w:adjustRightInd w:val="0"/>
        <w:spacing w:after="0" w:line="240" w:lineRule="auto"/>
        <w:rPr>
          <w:b/>
          <w:bCs/>
        </w:rPr>
      </w:pPr>
    </w:p>
    <w:p w14:paraId="697F1CE4" w14:textId="77777777" w:rsidR="004A6C75" w:rsidRDefault="006854C7" w:rsidP="00412B1C">
      <w:pPr>
        <w:autoSpaceDE w:val="0"/>
        <w:autoSpaceDN w:val="0"/>
        <w:adjustRightInd w:val="0"/>
        <w:spacing w:after="0" w:line="360" w:lineRule="auto"/>
        <w:jc w:val="both"/>
        <w:rPr>
          <w:rFonts w:ascii="Arial" w:hAnsi="Arial" w:cs="Arial"/>
          <w:color w:val="00B0F0"/>
          <w:sz w:val="20"/>
          <w:szCs w:val="20"/>
        </w:rPr>
      </w:pPr>
      <w:r w:rsidRPr="004A6C75">
        <w:rPr>
          <w:rFonts w:ascii="Arial" w:hAnsi="Arial" w:cs="Arial"/>
          <w:color w:val="00B0F0"/>
          <w:sz w:val="20"/>
          <w:szCs w:val="20"/>
        </w:rPr>
        <w:t xml:space="preserve">The journals </w:t>
      </w:r>
      <w:r w:rsidR="00D26686" w:rsidRPr="004A6C75">
        <w:rPr>
          <w:rFonts w:ascii="Arial" w:hAnsi="Arial" w:cs="Arial"/>
          <w:color w:val="00B0F0"/>
          <w:sz w:val="20"/>
          <w:szCs w:val="20"/>
        </w:rPr>
        <w:t xml:space="preserve">indexed in </w:t>
      </w:r>
      <w:r w:rsidRPr="004A6C75">
        <w:rPr>
          <w:rFonts w:ascii="Arial" w:hAnsi="Arial" w:cs="Arial"/>
          <w:color w:val="00B0F0"/>
          <w:sz w:val="20"/>
          <w:szCs w:val="20"/>
        </w:rPr>
        <w:t xml:space="preserve">the Web of Science </w:t>
      </w:r>
      <w:r w:rsidR="00D26686" w:rsidRPr="004A6C75">
        <w:rPr>
          <w:rFonts w:ascii="Arial" w:hAnsi="Arial" w:cs="Arial"/>
          <w:color w:val="00B0F0"/>
          <w:sz w:val="20"/>
          <w:szCs w:val="20"/>
        </w:rPr>
        <w:t>(</w:t>
      </w:r>
      <w:proofErr w:type="spellStart"/>
      <w:r w:rsidR="00D26686" w:rsidRPr="004A6C75">
        <w:rPr>
          <w:rFonts w:ascii="Arial" w:hAnsi="Arial" w:cs="Arial"/>
          <w:color w:val="00B0F0"/>
          <w:sz w:val="20"/>
          <w:szCs w:val="20"/>
        </w:rPr>
        <w:t>WoS</w:t>
      </w:r>
      <w:proofErr w:type="spellEnd"/>
      <w:r w:rsidR="00D26686" w:rsidRPr="004A6C75">
        <w:rPr>
          <w:rFonts w:ascii="Arial" w:hAnsi="Arial" w:cs="Arial"/>
          <w:color w:val="00B0F0"/>
          <w:sz w:val="20"/>
          <w:szCs w:val="20"/>
        </w:rPr>
        <w:t xml:space="preserve">) </w:t>
      </w:r>
      <w:r w:rsidRPr="004A6C75">
        <w:rPr>
          <w:rFonts w:ascii="Arial" w:hAnsi="Arial" w:cs="Arial"/>
          <w:color w:val="00B0F0"/>
          <w:sz w:val="20"/>
          <w:szCs w:val="20"/>
        </w:rPr>
        <w:t xml:space="preserve">database under the </w:t>
      </w:r>
      <w:proofErr w:type="gramStart"/>
      <w:r w:rsidRPr="004A6C75">
        <w:rPr>
          <w:rFonts w:ascii="Arial" w:hAnsi="Arial" w:cs="Arial"/>
          <w:color w:val="00B0F0"/>
          <w:sz w:val="20"/>
          <w:szCs w:val="20"/>
        </w:rPr>
        <w:t>category  ‘</w:t>
      </w:r>
      <w:proofErr w:type="gramEnd"/>
      <w:r w:rsidRPr="004A6C75">
        <w:rPr>
          <w:rFonts w:ascii="Arial" w:hAnsi="Arial" w:cs="Arial"/>
          <w:color w:val="00B0F0"/>
          <w:sz w:val="20"/>
          <w:szCs w:val="20"/>
        </w:rPr>
        <w:t xml:space="preserve">Audiology and Speech-Language Pathology’  </w:t>
      </w:r>
      <w:r w:rsidR="00D26686" w:rsidRPr="004A6C75">
        <w:rPr>
          <w:rFonts w:ascii="Arial" w:hAnsi="Arial" w:cs="Arial"/>
          <w:color w:val="00B0F0"/>
          <w:sz w:val="20"/>
          <w:szCs w:val="20"/>
        </w:rPr>
        <w:t xml:space="preserve">were selected for the study. </w:t>
      </w:r>
      <w:r w:rsidR="00691473" w:rsidRPr="004A6C75">
        <w:rPr>
          <w:rFonts w:ascii="Arial" w:hAnsi="Arial" w:cs="Arial"/>
          <w:color w:val="00B0F0"/>
          <w:sz w:val="20"/>
          <w:szCs w:val="20"/>
        </w:rPr>
        <w:t>Thirty ‘publication titles’ were listed under the category</w:t>
      </w:r>
      <w:r w:rsidR="00B0305E" w:rsidRPr="004A6C75">
        <w:rPr>
          <w:rFonts w:ascii="Arial" w:hAnsi="Arial" w:cs="Arial"/>
          <w:color w:val="00B0F0"/>
          <w:sz w:val="20"/>
          <w:szCs w:val="20"/>
        </w:rPr>
        <w:t xml:space="preserve"> (table 1)</w:t>
      </w:r>
      <w:r w:rsidR="00691473" w:rsidRPr="004A6C75">
        <w:rPr>
          <w:rFonts w:ascii="Arial" w:hAnsi="Arial" w:cs="Arial"/>
          <w:color w:val="00B0F0"/>
          <w:sz w:val="20"/>
          <w:szCs w:val="20"/>
        </w:rPr>
        <w:t xml:space="preserve">. Of these, the title </w:t>
      </w:r>
      <w:r w:rsidR="00691473" w:rsidRPr="004A6C75">
        <w:rPr>
          <w:rFonts w:ascii="Arial" w:hAnsi="Arial" w:cs="Arial"/>
          <w:i/>
          <w:iCs/>
          <w:color w:val="00B0F0"/>
          <w:sz w:val="20"/>
          <w:szCs w:val="20"/>
        </w:rPr>
        <w:t>Hearing Loss Mechanisms Prevention and Cure</w:t>
      </w:r>
      <w:r w:rsidR="00691473" w:rsidRPr="004A6C75">
        <w:rPr>
          <w:rFonts w:ascii="Arial" w:hAnsi="Arial" w:cs="Arial"/>
          <w:color w:val="00B0F0"/>
          <w:sz w:val="20"/>
          <w:szCs w:val="20"/>
        </w:rPr>
        <w:t xml:space="preserve"> was excluded as it was not a journal. The title ‘</w:t>
      </w:r>
      <w:r w:rsidR="00691473" w:rsidRPr="004A6C75">
        <w:rPr>
          <w:rFonts w:ascii="Arial" w:hAnsi="Arial" w:cs="Arial"/>
          <w:i/>
          <w:iCs/>
          <w:color w:val="00B0F0"/>
          <w:sz w:val="20"/>
          <w:szCs w:val="20"/>
        </w:rPr>
        <w:t>Advances in Experimental Medicine and Biology</w:t>
      </w:r>
      <w:r w:rsidR="00691473" w:rsidRPr="004A6C75">
        <w:rPr>
          <w:rFonts w:ascii="Arial" w:hAnsi="Arial" w:cs="Arial"/>
          <w:color w:val="00B0F0"/>
          <w:sz w:val="20"/>
          <w:szCs w:val="20"/>
        </w:rPr>
        <w:t xml:space="preserve">’ </w:t>
      </w:r>
      <w:r w:rsidR="00B0305E" w:rsidRPr="004A6C75">
        <w:rPr>
          <w:rFonts w:ascii="Arial" w:hAnsi="Arial" w:cs="Arial"/>
          <w:color w:val="00B0F0"/>
          <w:sz w:val="20"/>
          <w:szCs w:val="20"/>
        </w:rPr>
        <w:t xml:space="preserve">was excluded as the journal does not belong to Audiology and Speech-Language Pathology. The </w:t>
      </w:r>
      <w:proofErr w:type="spellStart"/>
      <w:proofErr w:type="gramStart"/>
      <w:r w:rsidR="00B0305E" w:rsidRPr="004A6C75">
        <w:rPr>
          <w:rFonts w:ascii="Arial" w:hAnsi="Arial" w:cs="Arial"/>
          <w:color w:val="00B0F0"/>
          <w:sz w:val="20"/>
          <w:szCs w:val="20"/>
        </w:rPr>
        <w:t>title,</w:t>
      </w:r>
      <w:r w:rsidR="00C87C7A" w:rsidRPr="004A6C75">
        <w:rPr>
          <w:rFonts w:ascii="Arial" w:hAnsi="Arial" w:cs="Arial"/>
          <w:color w:val="00B0F0"/>
          <w:sz w:val="20"/>
          <w:szCs w:val="20"/>
        </w:rPr>
        <w:t>Journal</w:t>
      </w:r>
      <w:proofErr w:type="spellEnd"/>
      <w:proofErr w:type="gramEnd"/>
      <w:r w:rsidR="00C87C7A" w:rsidRPr="004A6C75">
        <w:rPr>
          <w:rFonts w:ascii="Arial" w:hAnsi="Arial" w:cs="Arial"/>
          <w:color w:val="00B0F0"/>
          <w:sz w:val="20"/>
          <w:szCs w:val="20"/>
        </w:rPr>
        <w:t xml:space="preserve"> of Medical Speech Language </w:t>
      </w:r>
      <w:proofErr w:type="spellStart"/>
      <w:r w:rsidR="00C87C7A" w:rsidRPr="004A6C75">
        <w:rPr>
          <w:rFonts w:ascii="Arial" w:hAnsi="Arial" w:cs="Arial"/>
          <w:color w:val="00B0F0"/>
          <w:sz w:val="20"/>
          <w:szCs w:val="20"/>
        </w:rPr>
        <w:t>Pathologywas</w:t>
      </w:r>
      <w:proofErr w:type="spellEnd"/>
      <w:r w:rsidR="00C87C7A" w:rsidRPr="004A6C75">
        <w:rPr>
          <w:rFonts w:ascii="Arial" w:hAnsi="Arial" w:cs="Arial"/>
          <w:color w:val="00B0F0"/>
          <w:sz w:val="20"/>
          <w:szCs w:val="20"/>
        </w:rPr>
        <w:t xml:space="preserve"> excluded as it is a discontinued publication. </w:t>
      </w:r>
      <w:r w:rsidR="00C87C7A" w:rsidRPr="004A6C75">
        <w:rPr>
          <w:rFonts w:ascii="Arial" w:hAnsi="Arial" w:cs="Arial"/>
          <w:color w:val="00B0F0"/>
          <w:sz w:val="20"/>
          <w:szCs w:val="20"/>
        </w:rPr>
        <w:lastRenderedPageBreak/>
        <w:t xml:space="preserve">The remaining 27 </w:t>
      </w:r>
      <w:proofErr w:type="spellStart"/>
      <w:r w:rsidR="00C87C7A" w:rsidRPr="004A6C75">
        <w:rPr>
          <w:rFonts w:ascii="Arial" w:hAnsi="Arial" w:cs="Arial"/>
          <w:color w:val="00B0F0"/>
          <w:sz w:val="20"/>
          <w:szCs w:val="20"/>
        </w:rPr>
        <w:t>jurnals</w:t>
      </w:r>
      <w:proofErr w:type="spellEnd"/>
      <w:r w:rsidR="00C87C7A" w:rsidRPr="004A6C75">
        <w:rPr>
          <w:rFonts w:ascii="Arial" w:hAnsi="Arial" w:cs="Arial"/>
          <w:color w:val="00B0F0"/>
          <w:sz w:val="20"/>
          <w:szCs w:val="20"/>
        </w:rPr>
        <w:t xml:space="preserve"> were taken for further analysis. </w:t>
      </w:r>
      <w:r w:rsidR="004A6C75">
        <w:rPr>
          <w:rFonts w:ascii="Arial" w:hAnsi="Arial" w:cs="Arial"/>
          <w:color w:val="00B0F0"/>
          <w:sz w:val="20"/>
          <w:szCs w:val="20"/>
        </w:rPr>
        <w:t>The official websites of each of the 27 journals were checked for their pre-print policies and listed in table 2.</w:t>
      </w:r>
    </w:p>
    <w:p w14:paraId="4C844F16" w14:textId="77777777" w:rsidR="002B771E" w:rsidRDefault="002B771E" w:rsidP="00412B1C">
      <w:pPr>
        <w:autoSpaceDE w:val="0"/>
        <w:autoSpaceDN w:val="0"/>
        <w:adjustRightInd w:val="0"/>
        <w:spacing w:after="0" w:line="360" w:lineRule="auto"/>
        <w:jc w:val="both"/>
        <w:rPr>
          <w:rFonts w:ascii="Arial" w:hAnsi="Arial" w:cs="Arial"/>
          <w:color w:val="00B0F0"/>
          <w:sz w:val="20"/>
          <w:szCs w:val="20"/>
        </w:rPr>
      </w:pPr>
      <w:proofErr w:type="gramStart"/>
      <w:r>
        <w:rPr>
          <w:rFonts w:ascii="Arial" w:hAnsi="Arial" w:cs="Arial"/>
          <w:color w:val="00B0F0"/>
          <w:sz w:val="20"/>
          <w:szCs w:val="20"/>
        </w:rPr>
        <w:t>On  the</w:t>
      </w:r>
      <w:proofErr w:type="gramEnd"/>
      <w:r>
        <w:rPr>
          <w:rFonts w:ascii="Arial" w:hAnsi="Arial" w:cs="Arial"/>
          <w:color w:val="00B0F0"/>
          <w:sz w:val="20"/>
          <w:szCs w:val="20"/>
        </w:rPr>
        <w:t xml:space="preserve"> official websites ‘Information for Authors’ and Editorial Policy” </w:t>
      </w:r>
    </w:p>
    <w:p w14:paraId="0ADAED4A" w14:textId="77777777" w:rsidR="00C87C7A" w:rsidRDefault="00C87C7A" w:rsidP="00412B1C">
      <w:pPr>
        <w:autoSpaceDE w:val="0"/>
        <w:autoSpaceDN w:val="0"/>
        <w:adjustRightInd w:val="0"/>
        <w:spacing w:after="0" w:line="360" w:lineRule="auto"/>
        <w:jc w:val="both"/>
        <w:rPr>
          <w:rFonts w:ascii="Arial" w:hAnsi="Arial" w:cs="Arial"/>
          <w:sz w:val="20"/>
          <w:szCs w:val="20"/>
        </w:rPr>
      </w:pPr>
    </w:p>
    <w:p w14:paraId="0BCDF1C0" w14:textId="77777777" w:rsidR="00412B1C" w:rsidRPr="00412B1C" w:rsidRDefault="00412B1C" w:rsidP="00412B1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An original list of 227 journals that publish palaeontological research was constructed based on an exhaustive Web search, followed by crosschecking with the Directory of Open Access Journals (DOAJ). We did not use common databases such as Scopus or Web of Sciences, as these reveal a very biased picture of the ‘global’ research landscape (</w:t>
      </w:r>
      <w:proofErr w:type="spellStart"/>
      <w:r>
        <w:rPr>
          <w:rFonts w:ascii="Arial" w:hAnsi="Arial" w:cs="Arial"/>
          <w:sz w:val="20"/>
          <w:szCs w:val="20"/>
        </w:rPr>
        <w:t>Ciarli</w:t>
      </w:r>
      <w:proofErr w:type="spellEnd"/>
      <w:r>
        <w:rPr>
          <w:rFonts w:ascii="Arial" w:hAnsi="Arial" w:cs="Arial"/>
          <w:sz w:val="20"/>
          <w:szCs w:val="20"/>
        </w:rPr>
        <w:t xml:space="preserve"> et al., 2014; Mongeon and Paul-Hus, 2016). This list includes discipline-specific journals, but also a number of interdisciplinary ‘</w:t>
      </w:r>
      <w:proofErr w:type="spellStart"/>
      <w:r>
        <w:rPr>
          <w:rFonts w:ascii="Arial" w:hAnsi="Arial" w:cs="Arial"/>
          <w:sz w:val="20"/>
          <w:szCs w:val="20"/>
        </w:rPr>
        <w:t>megajournals</w:t>
      </w:r>
      <w:proofErr w:type="spellEnd"/>
      <w:r>
        <w:rPr>
          <w:rFonts w:ascii="Arial" w:hAnsi="Arial" w:cs="Arial"/>
          <w:sz w:val="20"/>
          <w:szCs w:val="20"/>
        </w:rPr>
        <w:t xml:space="preserve">’ that have proven reasonably popular within some areas of the palaeontology community and now represent a huge diversity of potential journals for palaeontologists to publish in. The following data were originally gathered in summer 2017, based on three main sources (Sherpa/ </w:t>
      </w:r>
      <w:proofErr w:type="spellStart"/>
      <w:r>
        <w:rPr>
          <w:rFonts w:ascii="Arial" w:hAnsi="Arial" w:cs="Arial"/>
          <w:sz w:val="20"/>
          <w:szCs w:val="20"/>
        </w:rPr>
        <w:t>RoMEO</w:t>
      </w:r>
      <w:proofErr w:type="spellEnd"/>
      <w:r>
        <w:rPr>
          <w:rFonts w:ascii="Arial" w:hAnsi="Arial" w:cs="Arial"/>
          <w:sz w:val="20"/>
          <w:szCs w:val="20"/>
        </w:rPr>
        <w:t>; Web search; clarification through email</w:t>
      </w:r>
      <w:proofErr w:type="gramStart"/>
      <w:r>
        <w:rPr>
          <w:rFonts w:ascii="Arial" w:hAnsi="Arial" w:cs="Arial"/>
          <w:sz w:val="20"/>
          <w:szCs w:val="20"/>
        </w:rPr>
        <w:t>).The</w:t>
      </w:r>
      <w:proofErr w:type="gramEnd"/>
      <w:r>
        <w:rPr>
          <w:rFonts w:ascii="Arial" w:hAnsi="Arial" w:cs="Arial"/>
          <w:sz w:val="20"/>
          <w:szCs w:val="20"/>
        </w:rPr>
        <w:t xml:space="preserve"> information quality in Sherpa/</w:t>
      </w:r>
      <w:proofErr w:type="spellStart"/>
      <w:r>
        <w:rPr>
          <w:rFonts w:ascii="Arial" w:hAnsi="Arial" w:cs="Arial"/>
          <w:sz w:val="20"/>
          <w:szCs w:val="20"/>
        </w:rPr>
        <w:t>RoMEO</w:t>
      </w:r>
      <w:proofErr w:type="spellEnd"/>
      <w:r>
        <w:rPr>
          <w:rFonts w:ascii="Arial" w:hAnsi="Arial" w:cs="Arial"/>
          <w:sz w:val="20"/>
          <w:szCs w:val="20"/>
        </w:rPr>
        <w:t xml:space="preserve"> was also of varying quality, and often key data were missing, and so the data were checked manually (i.e., by gathering information directly from journal websites) again in February 2019 to make sure they are as up-to-date as possible and are available as supplementary files included in the Appendix</w:t>
      </w:r>
    </w:p>
    <w:p w14:paraId="76BFF943"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Journal name;</w:t>
      </w:r>
    </w:p>
    <w:p w14:paraId="3DCA671E"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or not the journal permits sharing of</w:t>
      </w:r>
    </w:p>
    <w:p w14:paraId="18E2B368"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preprints;</w:t>
      </w:r>
    </w:p>
    <w:p w14:paraId="4C095786"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or not the journal permits sharing of</w:t>
      </w:r>
    </w:p>
    <w:p w14:paraId="1D6F991B" w14:textId="77777777" w:rsidR="00364AFC" w:rsidRDefault="00364AFC" w:rsidP="00364AFC">
      <w:pPr>
        <w:autoSpaceDE w:val="0"/>
        <w:autoSpaceDN w:val="0"/>
        <w:adjustRightInd w:val="0"/>
        <w:spacing w:after="0" w:line="240" w:lineRule="auto"/>
        <w:rPr>
          <w:rFonts w:ascii="Arial" w:hAnsi="Arial" w:cs="Arial"/>
          <w:sz w:val="18"/>
          <w:szCs w:val="18"/>
        </w:rPr>
      </w:pPr>
      <w:proofErr w:type="spellStart"/>
      <w:r>
        <w:rPr>
          <w:rFonts w:ascii="Arial" w:hAnsi="Arial" w:cs="Arial"/>
          <w:sz w:val="18"/>
          <w:szCs w:val="18"/>
        </w:rPr>
        <w:t>postprints</w:t>
      </w:r>
      <w:proofErr w:type="spellEnd"/>
      <w:r>
        <w:rPr>
          <w:rFonts w:ascii="Arial" w:hAnsi="Arial" w:cs="Arial"/>
          <w:sz w:val="18"/>
          <w:szCs w:val="18"/>
        </w:rPr>
        <w:t>;</w:t>
      </w:r>
    </w:p>
    <w:p w14:paraId="5D516A16"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there is an embargo period or not</w:t>
      </w:r>
    </w:p>
    <w:p w14:paraId="175FC08F"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w:t>
      </w:r>
      <w:proofErr w:type="gramStart"/>
      <w:r>
        <w:rPr>
          <w:rFonts w:ascii="Arial" w:hAnsi="Arial" w:cs="Arial"/>
          <w:sz w:val="18"/>
          <w:szCs w:val="18"/>
        </w:rPr>
        <w:t>where</w:t>
      </w:r>
      <w:proofErr w:type="gramEnd"/>
      <w:r>
        <w:rPr>
          <w:rFonts w:ascii="Arial" w:hAnsi="Arial" w:cs="Arial"/>
          <w:sz w:val="18"/>
          <w:szCs w:val="18"/>
        </w:rPr>
        <w:t xml:space="preserve"> there is more than one option, this represents</w:t>
      </w:r>
    </w:p>
    <w:p w14:paraId="4F6AFD5F"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a different embargo based on a different</w:t>
      </w:r>
    </w:p>
    <w:p w14:paraId="56871408"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repository type);</w:t>
      </w:r>
    </w:p>
    <w:p w14:paraId="17184DAD"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or not the publisher version (VOR) can</w:t>
      </w:r>
    </w:p>
    <w:p w14:paraId="1A68A65D"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be shared;</w:t>
      </w:r>
    </w:p>
    <w:p w14:paraId="3BC30052"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or not an option for ‘gold’ OA exists</w:t>
      </w:r>
    </w:p>
    <w:p w14:paraId="42F02F04"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(i.e., instant availability at the point of journal</w:t>
      </w:r>
    </w:p>
    <w:p w14:paraId="13489581"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publication; including ‘hybrid OA’);</w:t>
      </w:r>
    </w:p>
    <w:p w14:paraId="629C42AA"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What the article processing charge (APC) for</w:t>
      </w:r>
    </w:p>
    <w:p w14:paraId="1FB65491"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the gold option is (zero denotes ‘diamond’ OA);</w:t>
      </w:r>
    </w:p>
    <w:p w14:paraId="30D70C3A"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Source of information from Sherpa/</w:t>
      </w:r>
      <w:proofErr w:type="spellStart"/>
      <w:r>
        <w:rPr>
          <w:rFonts w:ascii="Arial" w:hAnsi="Arial" w:cs="Arial"/>
          <w:sz w:val="18"/>
          <w:szCs w:val="18"/>
        </w:rPr>
        <w:t>RoMEO</w:t>
      </w:r>
      <w:proofErr w:type="spellEnd"/>
      <w:r>
        <w:rPr>
          <w:rFonts w:ascii="Arial" w:hAnsi="Arial" w:cs="Arial"/>
          <w:sz w:val="18"/>
          <w:szCs w:val="18"/>
        </w:rPr>
        <w:t>;</w:t>
      </w:r>
    </w:p>
    <w:p w14:paraId="44FCE6D6"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Source of information from main website;</w:t>
      </w:r>
    </w:p>
    <w:p w14:paraId="35306A72"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Sherpa/</w:t>
      </w:r>
      <w:proofErr w:type="spellStart"/>
      <w:r>
        <w:rPr>
          <w:rFonts w:ascii="Arial" w:hAnsi="Arial" w:cs="Arial"/>
          <w:sz w:val="18"/>
          <w:szCs w:val="18"/>
        </w:rPr>
        <w:t>RoMEO</w:t>
      </w:r>
      <w:proofErr w:type="spellEnd"/>
      <w:r>
        <w:rPr>
          <w:rFonts w:ascii="Arial" w:hAnsi="Arial" w:cs="Arial"/>
          <w:sz w:val="18"/>
          <w:szCs w:val="18"/>
        </w:rPr>
        <w:t xml:space="preserve"> colour status;</w:t>
      </w:r>
    </w:p>
    <w:p w14:paraId="1D7074ED"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2017 Source Normalised Impact per Publication</w:t>
      </w:r>
    </w:p>
    <w:p w14:paraId="7E4275F2" w14:textId="77777777" w:rsidR="00364AFC" w:rsidRDefault="00364AFC" w:rsidP="00364AFC">
      <w:pPr>
        <w:autoSpaceDE w:val="0"/>
        <w:autoSpaceDN w:val="0"/>
        <w:adjustRightInd w:val="0"/>
        <w:spacing w:after="0" w:line="240" w:lineRule="auto"/>
        <w:rPr>
          <w:rFonts w:ascii="Arial" w:hAnsi="Arial" w:cs="Arial"/>
          <w:sz w:val="20"/>
          <w:szCs w:val="20"/>
        </w:rPr>
      </w:pPr>
      <w:r>
        <w:rPr>
          <w:rFonts w:ascii="Arial" w:hAnsi="Arial" w:cs="Arial"/>
          <w:sz w:val="18"/>
          <w:szCs w:val="18"/>
        </w:rPr>
        <w:t>(SNIP, source</w:t>
      </w:r>
      <w:r>
        <w:rPr>
          <w:rFonts w:ascii="Arial" w:hAnsi="Arial" w:cs="Arial"/>
          <w:sz w:val="20"/>
          <w:szCs w:val="20"/>
        </w:rPr>
        <w:t>:</w:t>
      </w:r>
    </w:p>
    <w:p w14:paraId="56B3BA8D"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http://www.journalindicators.com/methodology)</w:t>
      </w:r>
    </w:p>
    <w:p w14:paraId="480893F4"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(n=182);</w:t>
      </w:r>
    </w:p>
    <w:p w14:paraId="0C20E497"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2017 impact factor (n=163); and</w:t>
      </w:r>
    </w:p>
    <w:p w14:paraId="64EE2C60" w14:textId="77777777" w:rsidR="00412B1C" w:rsidRDefault="00364AFC" w:rsidP="00364AFC">
      <w:pPr>
        <w:rPr>
          <w:rFonts w:ascii="Arial" w:hAnsi="Arial" w:cs="Arial"/>
          <w:sz w:val="18"/>
          <w:szCs w:val="18"/>
        </w:rPr>
      </w:pPr>
      <w:r>
        <w:rPr>
          <w:rFonts w:ascii="Arial" w:hAnsi="Arial" w:cs="Arial"/>
          <w:sz w:val="18"/>
          <w:szCs w:val="18"/>
        </w:rPr>
        <w:t>• Publisher</w:t>
      </w:r>
    </w:p>
    <w:p w14:paraId="20294F92" w14:textId="77777777" w:rsidR="00364AFC" w:rsidRDefault="00364AFC" w:rsidP="00364AFC"/>
    <w:p w14:paraId="6BDE4EB5" w14:textId="77777777" w:rsidR="00412B1C" w:rsidRDefault="00412B1C"/>
    <w:p w14:paraId="4A7E5836" w14:textId="04F0D068" w:rsidR="00B52194" w:rsidRDefault="00BC15D3">
      <w:r w:rsidRPr="00BC15D3">
        <w:t xml:space="preserve">One </w:t>
      </w:r>
      <w:proofErr w:type="gramStart"/>
      <w:r w:rsidRPr="00BC15D3">
        <w:t>of  the</w:t>
      </w:r>
      <w:proofErr w:type="gramEnd"/>
      <w:r w:rsidRPr="00BC15D3">
        <w:t xml:space="preserve">  first  in  this  new  wave  was  the  discipline-based  server, </w:t>
      </w:r>
      <w:proofErr w:type="spellStart"/>
      <w:r w:rsidRPr="00BC15D3">
        <w:t>bioRxiv</w:t>
      </w:r>
      <w:proofErr w:type="spellEnd"/>
      <w:r w:rsidRPr="00BC15D3">
        <w:t xml:space="preserve">  –  set  up  by  the  Cold  Spring  </w:t>
      </w:r>
      <w:proofErr w:type="spellStart"/>
      <w:r w:rsidRPr="00BC15D3">
        <w:t>Harbor</w:t>
      </w:r>
      <w:proofErr w:type="spellEnd"/>
      <w:r w:rsidRPr="00BC15D3">
        <w:t xml:space="preserve">  Laboratory  in  2013 to  cover  the  life  sciences  –  which  has  been  a  focus  of  discus-</w:t>
      </w:r>
      <w:proofErr w:type="spellStart"/>
      <w:r w:rsidRPr="00BC15D3">
        <w:t>sion</w:t>
      </w:r>
      <w:proofErr w:type="spellEnd"/>
      <w:r w:rsidRPr="00BC15D3">
        <w:t xml:space="preserve">  and  debate  (Abdill  &amp;</w:t>
      </w:r>
      <w:proofErr w:type="spellStart"/>
      <w:r w:rsidRPr="00BC15D3">
        <w:t>Blekhman</w:t>
      </w:r>
      <w:proofErr w:type="spellEnd"/>
      <w:r w:rsidRPr="00BC15D3">
        <w:t xml:space="preserve">,  2019; Luther,  2017; Vale, 2015).  </w:t>
      </w:r>
      <w:proofErr w:type="gramStart"/>
      <w:r w:rsidRPr="00BC15D3">
        <w:t>However,  there</w:t>
      </w:r>
      <w:proofErr w:type="gramEnd"/>
      <w:r w:rsidRPr="00BC15D3">
        <w:t xml:space="preserve">  are  a  considerable  number  of  other  </w:t>
      </w:r>
      <w:proofErr w:type="spellStart"/>
      <w:r w:rsidRPr="00BC15D3">
        <w:t>disci-plinary</w:t>
      </w:r>
      <w:proofErr w:type="spellEnd"/>
      <w:r w:rsidRPr="00BC15D3">
        <w:t xml:space="preserve">  servers,  including  several  set  up  by  the  </w:t>
      </w:r>
      <w:proofErr w:type="spellStart"/>
      <w:r w:rsidRPr="00BC15D3">
        <w:t>Center</w:t>
      </w:r>
      <w:proofErr w:type="spellEnd"/>
      <w:r w:rsidRPr="00BC15D3">
        <w:t xml:space="preserve">  for  Open Science,   such   as   </w:t>
      </w:r>
      <w:proofErr w:type="spellStart"/>
      <w:r w:rsidRPr="00BC15D3">
        <w:t>SocArXiv</w:t>
      </w:r>
      <w:proofErr w:type="spellEnd"/>
      <w:r w:rsidRPr="00BC15D3">
        <w:t xml:space="preserve">,   </w:t>
      </w:r>
      <w:proofErr w:type="spellStart"/>
      <w:r w:rsidRPr="00BC15D3">
        <w:t>engrXiv</w:t>
      </w:r>
      <w:proofErr w:type="spellEnd"/>
      <w:r w:rsidRPr="00BC15D3">
        <w:t xml:space="preserve">   and   </w:t>
      </w:r>
      <w:proofErr w:type="spellStart"/>
      <w:r w:rsidRPr="00BC15D3">
        <w:t>PsyArXiv</w:t>
      </w:r>
      <w:proofErr w:type="spellEnd"/>
      <w:r w:rsidRPr="00BC15D3">
        <w:t xml:space="preserve">   (all   of which  were  launched  in  2016),  as  well  as  platforms  such  as </w:t>
      </w:r>
      <w:proofErr w:type="spellStart"/>
      <w:r w:rsidRPr="00BC15D3">
        <w:t>ESSOAr</w:t>
      </w:r>
      <w:proofErr w:type="spellEnd"/>
      <w:r w:rsidRPr="00BC15D3">
        <w:t xml:space="preserve">,  set  up  by  the  American  Geophysical  Union  in  2018. </w:t>
      </w:r>
      <w:proofErr w:type="gramStart"/>
      <w:r w:rsidRPr="00BC15D3">
        <w:t>At  the</w:t>
      </w:r>
      <w:proofErr w:type="gramEnd"/>
      <w:r w:rsidRPr="00BC15D3">
        <w:t xml:space="preserve">  same  time,  national  servers  have  been  launched,  </w:t>
      </w:r>
      <w:proofErr w:type="spellStart"/>
      <w:r w:rsidRPr="00BC15D3">
        <w:t>includ-ingChinaXiv</w:t>
      </w:r>
      <w:proofErr w:type="spellEnd"/>
      <w:r w:rsidRPr="00BC15D3">
        <w:t xml:space="preserve">   (for   China),   </w:t>
      </w:r>
      <w:proofErr w:type="spellStart"/>
      <w:r w:rsidRPr="00BC15D3">
        <w:lastRenderedPageBreak/>
        <w:t>IndiaRxiv</w:t>
      </w:r>
      <w:proofErr w:type="spellEnd"/>
      <w:r w:rsidRPr="00BC15D3">
        <w:t xml:space="preserve">   (for   India)   and   INA-</w:t>
      </w:r>
      <w:proofErr w:type="spellStart"/>
      <w:r w:rsidRPr="00BC15D3">
        <w:t>Rxiv</w:t>
      </w:r>
      <w:proofErr w:type="spellEnd"/>
      <w:r w:rsidRPr="00BC15D3">
        <w:t xml:space="preserve">  (Indonesia)  (</w:t>
      </w:r>
      <w:proofErr w:type="spellStart"/>
      <w:r w:rsidRPr="00BC15D3">
        <w:t>Mallapaty</w:t>
      </w:r>
      <w:proofErr w:type="spellEnd"/>
      <w:r w:rsidRPr="00BC15D3">
        <w:t xml:space="preserve">,  2019).  </w:t>
      </w:r>
      <w:proofErr w:type="gramStart"/>
      <w:r w:rsidRPr="00BC15D3">
        <w:t>Funders  of</w:t>
      </w:r>
      <w:proofErr w:type="gramEnd"/>
      <w:r w:rsidRPr="00BC15D3">
        <w:t xml:space="preserve">  research  have also  set  up  platforms  that  enable  the  sharing  of  articles  before peer-review,   including,   in   2016,   </w:t>
      </w:r>
      <w:proofErr w:type="spellStart"/>
      <w:r w:rsidRPr="00BC15D3">
        <w:t>Wellcome</w:t>
      </w:r>
      <w:proofErr w:type="spellEnd"/>
      <w:r w:rsidRPr="00BC15D3">
        <w:t xml:space="preserve">   Open   Research, for   </w:t>
      </w:r>
      <w:proofErr w:type="spellStart"/>
      <w:r w:rsidRPr="00BC15D3">
        <w:t>Wellcome</w:t>
      </w:r>
      <w:proofErr w:type="spellEnd"/>
      <w:r w:rsidRPr="00BC15D3">
        <w:t xml:space="preserve">-funded   researchers.   In   </w:t>
      </w:r>
      <w:proofErr w:type="gramStart"/>
      <w:r w:rsidRPr="00BC15D3">
        <w:t xml:space="preserve">addition,   </w:t>
      </w:r>
      <w:proofErr w:type="gramEnd"/>
      <w:r w:rsidRPr="00BC15D3">
        <w:t>a   number   of journal   publishers   have   added   the   dissemination   of   preprints to   their   workflows.   The   open   access</w:t>
      </w:r>
      <w:proofErr w:type="gramStart"/>
      <w:r w:rsidRPr="00BC15D3">
        <w:t xml:space="preserve">   (</w:t>
      </w:r>
      <w:proofErr w:type="gramEnd"/>
      <w:r w:rsidRPr="00BC15D3">
        <w:t xml:space="preserve">OA)   publisher,   </w:t>
      </w:r>
      <w:proofErr w:type="spellStart"/>
      <w:r w:rsidRPr="00BC15D3">
        <w:t>PeerJ</w:t>
      </w:r>
      <w:proofErr w:type="spellEnd"/>
      <w:r w:rsidRPr="00BC15D3">
        <w:t xml:space="preserve">, began  offering  preprint  services  in  2013,  MDPI  in  2016  and Cambridge  University  Press  in  2019.  </w:t>
      </w:r>
      <w:proofErr w:type="gramStart"/>
      <w:r w:rsidRPr="00BC15D3">
        <w:t>Whilst  the</w:t>
      </w:r>
      <w:proofErr w:type="gramEnd"/>
      <w:r w:rsidRPr="00BC15D3">
        <w:t xml:space="preserve">  first  of  these has  now  closed  its  server,  significantly  it  cites  its  reason  for doing  so  as  the  change  in  the  preprints  landscape  between  2013 and  2019:  “the  academic  community  is  now  well-served  with other  preprint  venue  options”  (</w:t>
      </w:r>
      <w:proofErr w:type="spellStart"/>
      <w:r w:rsidRPr="00BC15D3">
        <w:t>PeerJ</w:t>
      </w:r>
      <w:proofErr w:type="spellEnd"/>
      <w:r w:rsidRPr="00BC15D3">
        <w:t xml:space="preserve">,  2019).  </w:t>
      </w:r>
      <w:proofErr w:type="gramStart"/>
      <w:r w:rsidRPr="00BC15D3">
        <w:t>A  number</w:t>
      </w:r>
      <w:proofErr w:type="gramEnd"/>
      <w:r w:rsidRPr="00BC15D3">
        <w:t xml:space="preserve">  of  jour-</w:t>
      </w:r>
      <w:proofErr w:type="spellStart"/>
      <w:r w:rsidRPr="00BC15D3">
        <w:t>nals</w:t>
      </w:r>
      <w:proofErr w:type="spellEnd"/>
      <w:r w:rsidRPr="00BC15D3">
        <w:t xml:space="preserve">,   primarily   in   biomedical   sciences,   have   adopted   a   </w:t>
      </w:r>
      <w:proofErr w:type="spellStart"/>
      <w:r w:rsidRPr="00BC15D3">
        <w:t>dif-ferent</w:t>
      </w:r>
      <w:proofErr w:type="spellEnd"/>
      <w:r w:rsidRPr="00BC15D3">
        <w:t xml:space="preserve">   model,   and   now   deposit   submissions   from   authors   in </w:t>
      </w:r>
      <w:proofErr w:type="spellStart"/>
      <w:r w:rsidRPr="00BC15D3">
        <w:t>bioRxiv</w:t>
      </w:r>
      <w:proofErr w:type="spellEnd"/>
      <w:r w:rsidRPr="00BC15D3">
        <w:t xml:space="preserve">  on  behalf</w:t>
      </w:r>
      <w:r w:rsidR="00ED4A75">
        <w:t xml:space="preserve"> </w:t>
      </w:r>
      <w:r w:rsidRPr="00BC15D3">
        <w:t xml:space="preserve">of  authors  (where  the  author  agrees  to  this). Journals   practising   this   model   in   </w:t>
      </w:r>
      <w:proofErr w:type="spellStart"/>
      <w:r w:rsidRPr="00BC15D3">
        <w:t>bioRxiv</w:t>
      </w:r>
      <w:proofErr w:type="spellEnd"/>
      <w:r w:rsidRPr="00BC15D3">
        <w:t xml:space="preserve">   include Proceed-</w:t>
      </w:r>
      <w:proofErr w:type="spellStart"/>
      <w:proofErr w:type="gramStart"/>
      <w:r w:rsidRPr="00BC15D3">
        <w:t>ings</w:t>
      </w:r>
      <w:proofErr w:type="spellEnd"/>
      <w:r w:rsidRPr="00BC15D3">
        <w:t xml:space="preserve">  of</w:t>
      </w:r>
      <w:proofErr w:type="gramEnd"/>
      <w:r w:rsidRPr="00BC15D3">
        <w:t xml:space="preserve">  the  National  Academy  of  Sciences  (PNAS),  titles  pub-</w:t>
      </w:r>
      <w:proofErr w:type="spellStart"/>
      <w:r w:rsidRPr="00BC15D3">
        <w:t>lished</w:t>
      </w:r>
      <w:proofErr w:type="spellEnd"/>
      <w:r w:rsidRPr="00BC15D3">
        <w:t xml:space="preserve">   by   PLOS   and   many   published   by   Frontiers   (</w:t>
      </w:r>
      <w:proofErr w:type="spellStart"/>
      <w:r w:rsidRPr="00BC15D3">
        <w:t>bioRxiv</w:t>
      </w:r>
      <w:proofErr w:type="spellEnd"/>
      <w:r w:rsidRPr="00BC15D3">
        <w:t>, n.d.).  The F1000</w:t>
      </w:r>
      <w:proofErr w:type="gramStart"/>
      <w:r w:rsidRPr="00BC15D3">
        <w:t>Research  publishing</w:t>
      </w:r>
      <w:proofErr w:type="gramEnd"/>
      <w:r w:rsidRPr="00BC15D3">
        <w:t xml:space="preserve">  platform  has  promoted  </w:t>
      </w:r>
      <w:proofErr w:type="spellStart"/>
      <w:r w:rsidRPr="00BC15D3">
        <w:t>anovel</w:t>
      </w:r>
      <w:proofErr w:type="spellEnd"/>
      <w:r w:rsidRPr="00BC15D3">
        <w:t xml:space="preserve">  publication  model  involving  preprints,  in  which  </w:t>
      </w:r>
      <w:proofErr w:type="spellStart"/>
      <w:r w:rsidRPr="00BC15D3">
        <w:t>immedi</w:t>
      </w:r>
      <w:proofErr w:type="spellEnd"/>
      <w:r w:rsidRPr="00BC15D3">
        <w:t xml:space="preserve">-ate  release  of  author  submissions  as  preprints  is  followed  </w:t>
      </w:r>
      <w:proofErr w:type="spellStart"/>
      <w:r w:rsidRPr="00BC15D3">
        <w:t>byopen</w:t>
      </w:r>
      <w:proofErr w:type="spellEnd"/>
      <w:r w:rsidRPr="00BC15D3">
        <w:t xml:space="preserve">    peer    review,    with    revised    versions    of    a    paper(alongside  author  responses  to  reviewer  comments)  published in the journal as they are made</w:t>
      </w:r>
      <w:r>
        <w:t>.</w:t>
      </w:r>
    </w:p>
    <w:p w14:paraId="6C0ADD2A" w14:textId="77777777" w:rsidR="00F541F7" w:rsidRDefault="00F541F7"/>
    <w:p w14:paraId="77D39462" w14:textId="77777777" w:rsidR="00F541F7" w:rsidRDefault="00F541F7">
      <w:r>
        <w:t>References</w:t>
      </w:r>
    </w:p>
    <w:p w14:paraId="0AF064D2" w14:textId="77777777" w:rsidR="00F541F7" w:rsidRPr="00F541F7" w:rsidRDefault="00F541F7" w:rsidP="00F541F7">
      <w:pPr>
        <w:spacing w:line="240" w:lineRule="auto"/>
        <w:rPr>
          <w:rFonts w:ascii="Helvetica" w:eastAsia="Times New Roman" w:hAnsi="Helvetica" w:cs="Helvetica"/>
          <w:color w:val="333333"/>
          <w:sz w:val="24"/>
          <w:szCs w:val="24"/>
          <w:lang w:eastAsia="en-IN"/>
        </w:rPr>
      </w:pPr>
      <w:proofErr w:type="spellStart"/>
      <w:r w:rsidRPr="00F541F7">
        <w:rPr>
          <w:rFonts w:ascii="Helvetica" w:eastAsia="Times New Roman" w:hAnsi="Helvetica" w:cs="Helvetica"/>
          <w:i/>
          <w:iCs/>
          <w:color w:val="333333"/>
          <w:sz w:val="24"/>
          <w:szCs w:val="24"/>
          <w:lang w:eastAsia="en-IN"/>
        </w:rPr>
        <w:t>medRxiv</w:t>
      </w:r>
      <w:proofErr w:type="spellEnd"/>
      <w:r w:rsidRPr="00F541F7">
        <w:rPr>
          <w:rFonts w:ascii="Helvetica" w:eastAsia="Times New Roman" w:hAnsi="Helvetica" w:cs="Helvetica"/>
          <w:color w:val="333333"/>
          <w:sz w:val="24"/>
          <w:szCs w:val="24"/>
          <w:lang w:eastAsia="en-IN"/>
        </w:rPr>
        <w:t>: the preprint server for health sciences. Accessed September 27, 2020. </w:t>
      </w:r>
      <w:hyperlink r:id="rId12" w:history="1">
        <w:r w:rsidRPr="00F541F7">
          <w:rPr>
            <w:rFonts w:ascii="Helvetica" w:eastAsia="Times New Roman" w:hAnsi="Helvetica" w:cs="Helvetica"/>
            <w:color w:val="981B1E"/>
            <w:sz w:val="24"/>
            <w:szCs w:val="24"/>
            <w:u w:val="single"/>
            <w:lang w:eastAsia="en-IN"/>
          </w:rPr>
          <w:t>https://www.medrxiv.org/</w:t>
        </w:r>
      </w:hyperlink>
    </w:p>
    <w:p w14:paraId="43589173" w14:textId="77777777" w:rsidR="00F541F7" w:rsidRPr="00F541F7" w:rsidRDefault="00F541F7" w:rsidP="00F541F7">
      <w:pPr>
        <w:spacing w:after="0" w:line="240" w:lineRule="auto"/>
        <w:rPr>
          <w:rFonts w:ascii="Helvetica" w:eastAsia="Times New Roman" w:hAnsi="Helvetica" w:cs="Helvetica"/>
          <w:color w:val="333333"/>
          <w:sz w:val="24"/>
          <w:szCs w:val="24"/>
          <w:lang w:eastAsia="en-IN"/>
        </w:rPr>
      </w:pPr>
      <w:r w:rsidRPr="00F541F7">
        <w:rPr>
          <w:rFonts w:ascii="Helvetica" w:eastAsia="Times New Roman" w:hAnsi="Helvetica" w:cs="Helvetica"/>
          <w:color w:val="333333"/>
          <w:sz w:val="24"/>
          <w:szCs w:val="24"/>
          <w:lang w:eastAsia="en-IN"/>
        </w:rPr>
        <w:t>12.</w:t>
      </w:r>
    </w:p>
    <w:p w14:paraId="37D0B55B" w14:textId="77777777" w:rsidR="00F541F7" w:rsidRPr="00F541F7" w:rsidRDefault="00F541F7" w:rsidP="00F541F7">
      <w:pPr>
        <w:spacing w:line="240" w:lineRule="auto"/>
        <w:rPr>
          <w:rFonts w:ascii="Helvetica" w:eastAsia="Times New Roman" w:hAnsi="Helvetica" w:cs="Helvetica"/>
          <w:color w:val="333333"/>
          <w:sz w:val="24"/>
          <w:szCs w:val="24"/>
          <w:lang w:eastAsia="en-IN"/>
        </w:rPr>
      </w:pPr>
      <w:proofErr w:type="spellStart"/>
      <w:r w:rsidRPr="00F541F7">
        <w:rPr>
          <w:rFonts w:ascii="Helvetica" w:eastAsia="Times New Roman" w:hAnsi="Helvetica" w:cs="Helvetica"/>
          <w:i/>
          <w:iCs/>
          <w:color w:val="333333"/>
          <w:sz w:val="24"/>
          <w:szCs w:val="24"/>
          <w:lang w:eastAsia="en-IN"/>
        </w:rPr>
        <w:t>bioRxiv</w:t>
      </w:r>
      <w:proofErr w:type="spellEnd"/>
      <w:r w:rsidRPr="00F541F7">
        <w:rPr>
          <w:rFonts w:ascii="Helvetica" w:eastAsia="Times New Roman" w:hAnsi="Helvetica" w:cs="Helvetica"/>
          <w:color w:val="333333"/>
          <w:sz w:val="24"/>
          <w:szCs w:val="24"/>
          <w:lang w:eastAsia="en-IN"/>
        </w:rPr>
        <w:t>: the preprint server for biology. Accessed September 27, 2020. </w:t>
      </w:r>
      <w:hyperlink r:id="rId13" w:history="1">
        <w:r w:rsidRPr="00F541F7">
          <w:rPr>
            <w:rFonts w:ascii="Helvetica" w:eastAsia="Times New Roman" w:hAnsi="Helvetica" w:cs="Helvetica"/>
            <w:color w:val="981B1E"/>
            <w:sz w:val="24"/>
            <w:szCs w:val="24"/>
            <w:u w:val="single"/>
            <w:lang w:eastAsia="en-IN"/>
          </w:rPr>
          <w:t>https://www.biorxiv.org/</w:t>
        </w:r>
      </w:hyperlink>
    </w:p>
    <w:p w14:paraId="5CCA2FF6" w14:textId="77777777" w:rsidR="00F541F7" w:rsidRPr="00F541F7" w:rsidRDefault="00F541F7" w:rsidP="00F541F7">
      <w:pPr>
        <w:spacing w:after="0" w:line="240" w:lineRule="auto"/>
        <w:rPr>
          <w:rFonts w:ascii="Helvetica" w:eastAsia="Times New Roman" w:hAnsi="Helvetica" w:cs="Helvetica"/>
          <w:color w:val="333333"/>
          <w:sz w:val="24"/>
          <w:szCs w:val="24"/>
          <w:lang w:eastAsia="en-IN"/>
        </w:rPr>
      </w:pPr>
      <w:r w:rsidRPr="00F541F7">
        <w:rPr>
          <w:rFonts w:ascii="Helvetica" w:eastAsia="Times New Roman" w:hAnsi="Helvetica" w:cs="Helvetica"/>
          <w:color w:val="333333"/>
          <w:sz w:val="24"/>
          <w:szCs w:val="24"/>
          <w:lang w:eastAsia="en-IN"/>
        </w:rPr>
        <w:t>13.</w:t>
      </w:r>
    </w:p>
    <w:p w14:paraId="539ECA48" w14:textId="77777777" w:rsidR="00F541F7" w:rsidRPr="00F541F7" w:rsidRDefault="00F541F7" w:rsidP="00F541F7">
      <w:pPr>
        <w:spacing w:line="240" w:lineRule="auto"/>
        <w:rPr>
          <w:rFonts w:ascii="Helvetica" w:eastAsia="Times New Roman" w:hAnsi="Helvetica" w:cs="Helvetica"/>
          <w:color w:val="333333"/>
          <w:sz w:val="24"/>
          <w:szCs w:val="24"/>
          <w:lang w:eastAsia="en-IN"/>
        </w:rPr>
      </w:pPr>
      <w:r w:rsidRPr="00F541F7">
        <w:rPr>
          <w:rFonts w:ascii="Helvetica" w:eastAsia="Times New Roman" w:hAnsi="Helvetica" w:cs="Helvetica"/>
          <w:color w:val="333333"/>
          <w:sz w:val="24"/>
          <w:szCs w:val="24"/>
          <w:lang w:eastAsia="en-IN"/>
        </w:rPr>
        <w:t>arXiv.org. Accessed September 27, 2020. </w:t>
      </w:r>
      <w:hyperlink r:id="rId14" w:history="1">
        <w:r w:rsidRPr="00F541F7">
          <w:rPr>
            <w:rFonts w:ascii="Helvetica" w:eastAsia="Times New Roman" w:hAnsi="Helvetica" w:cs="Helvetica"/>
            <w:color w:val="981B1E"/>
            <w:sz w:val="24"/>
            <w:szCs w:val="24"/>
            <w:u w:val="single"/>
            <w:lang w:eastAsia="en-IN"/>
          </w:rPr>
          <w:t>https://arxiv.org/</w:t>
        </w:r>
      </w:hyperlink>
    </w:p>
    <w:p w14:paraId="0DC304CD" w14:textId="77777777" w:rsidR="00F541F7" w:rsidRDefault="00F541F7"/>
    <w:sectPr w:rsidR="00F541F7" w:rsidSect="00ED74D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C7EF" w14:textId="77777777" w:rsidR="00797894" w:rsidRDefault="00797894" w:rsidP="007735B4">
      <w:pPr>
        <w:spacing w:after="0" w:line="240" w:lineRule="auto"/>
      </w:pPr>
      <w:r>
        <w:separator/>
      </w:r>
    </w:p>
  </w:endnote>
  <w:endnote w:type="continuationSeparator" w:id="0">
    <w:p w14:paraId="68A6E5C6" w14:textId="77777777" w:rsidR="00797894" w:rsidRDefault="00797894" w:rsidP="0077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AdvOT46dcae81">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EE"/>
    <w:family w:val="swiss"/>
    <w:notTrueType/>
    <w:pitch w:val="default"/>
    <w:sig w:usb0="00000005" w:usb1="00000000" w:usb2="00000000" w:usb3="00000000" w:csb0="00000002" w:csb1="00000000"/>
  </w:font>
  <w:font w:name="MyriadPro-It">
    <w:altName w:val="Yu Gothic"/>
    <w:panose1 w:val="00000000000000000000"/>
    <w:charset w:val="80"/>
    <w:family w:val="swiss"/>
    <w:notTrueType/>
    <w:pitch w:val="default"/>
    <w:sig w:usb0="00000001" w:usb1="08070000" w:usb2="00000010" w:usb3="00000000" w:csb0="00020000" w:csb1="00000000"/>
  </w:font>
  <w:font w:name="AdvTT4dbafa8d">
    <w:altName w:val="Cambria"/>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AdvTT4dbafa8d+2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B1F8" w14:textId="77777777" w:rsidR="007735B4" w:rsidRDefault="0077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3C83" w14:textId="77777777" w:rsidR="007735B4" w:rsidRDefault="0077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7C88" w14:textId="77777777" w:rsidR="007735B4" w:rsidRDefault="00773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9E3E" w14:textId="77777777" w:rsidR="00797894" w:rsidRDefault="00797894" w:rsidP="007735B4">
      <w:pPr>
        <w:spacing w:after="0" w:line="240" w:lineRule="auto"/>
      </w:pPr>
      <w:r>
        <w:separator/>
      </w:r>
    </w:p>
  </w:footnote>
  <w:footnote w:type="continuationSeparator" w:id="0">
    <w:p w14:paraId="0EC11628" w14:textId="77777777" w:rsidR="00797894" w:rsidRDefault="00797894" w:rsidP="00773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3D55" w14:textId="77777777" w:rsidR="007735B4" w:rsidRDefault="0077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49FD" w14:textId="77777777" w:rsidR="007735B4" w:rsidRDefault="0077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E6EA" w14:textId="77777777" w:rsidR="007735B4" w:rsidRDefault="007735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S0NLY0MTE3NzQzMbVQ0lEKTi0uzszPAykwrQUAez+IfSwAAAA="/>
  </w:docVars>
  <w:rsids>
    <w:rsidRoot w:val="00B212A1"/>
    <w:rsid w:val="00060432"/>
    <w:rsid w:val="001E19CA"/>
    <w:rsid w:val="002B5A9B"/>
    <w:rsid w:val="002B771E"/>
    <w:rsid w:val="00364AFC"/>
    <w:rsid w:val="0037468F"/>
    <w:rsid w:val="00412B1C"/>
    <w:rsid w:val="00427004"/>
    <w:rsid w:val="00492B77"/>
    <w:rsid w:val="004940D1"/>
    <w:rsid w:val="004A6C75"/>
    <w:rsid w:val="004D4EE7"/>
    <w:rsid w:val="004E0393"/>
    <w:rsid w:val="005F7AA5"/>
    <w:rsid w:val="006854C7"/>
    <w:rsid w:val="00691473"/>
    <w:rsid w:val="00765AFC"/>
    <w:rsid w:val="007735B4"/>
    <w:rsid w:val="00797894"/>
    <w:rsid w:val="007A21C5"/>
    <w:rsid w:val="009B7958"/>
    <w:rsid w:val="00A83482"/>
    <w:rsid w:val="00AB3058"/>
    <w:rsid w:val="00B0305E"/>
    <w:rsid w:val="00B212A1"/>
    <w:rsid w:val="00B32E76"/>
    <w:rsid w:val="00B52194"/>
    <w:rsid w:val="00BC15D3"/>
    <w:rsid w:val="00C53C3C"/>
    <w:rsid w:val="00C7127E"/>
    <w:rsid w:val="00C87C7A"/>
    <w:rsid w:val="00D26686"/>
    <w:rsid w:val="00DC714E"/>
    <w:rsid w:val="00E3782E"/>
    <w:rsid w:val="00E94A61"/>
    <w:rsid w:val="00EA03E7"/>
    <w:rsid w:val="00ED4A75"/>
    <w:rsid w:val="00ED74DC"/>
    <w:rsid w:val="00F541F7"/>
    <w:rsid w:val="00F62B89"/>
    <w:rsid w:val="00F668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D619"/>
  <w15:docId w15:val="{DA222790-C299-41C7-AABC-12FF9898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4AFC"/>
    <w:rPr>
      <w:color w:val="0000FF"/>
      <w:u w:val="single"/>
    </w:rPr>
  </w:style>
  <w:style w:type="paragraph" w:styleId="Header">
    <w:name w:val="header"/>
    <w:basedOn w:val="Normal"/>
    <w:link w:val="HeaderChar"/>
    <w:uiPriority w:val="99"/>
    <w:unhideWhenUsed/>
    <w:rsid w:val="00773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5B4"/>
  </w:style>
  <w:style w:type="paragraph" w:styleId="Footer">
    <w:name w:val="footer"/>
    <w:basedOn w:val="Normal"/>
    <w:link w:val="FooterChar"/>
    <w:uiPriority w:val="99"/>
    <w:unhideWhenUsed/>
    <w:rsid w:val="00773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5B4"/>
  </w:style>
  <w:style w:type="table" w:styleId="TableGrid">
    <w:name w:val="Table Grid"/>
    <w:basedOn w:val="TableNormal"/>
    <w:uiPriority w:val="39"/>
    <w:rsid w:val="007A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71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C71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419411">
      <w:bodyDiv w:val="1"/>
      <w:marLeft w:val="0"/>
      <w:marRight w:val="0"/>
      <w:marTop w:val="0"/>
      <w:marBottom w:val="0"/>
      <w:divBdr>
        <w:top w:val="none" w:sz="0" w:space="0" w:color="auto"/>
        <w:left w:val="none" w:sz="0" w:space="0" w:color="auto"/>
        <w:bottom w:val="none" w:sz="0" w:space="0" w:color="auto"/>
        <w:right w:val="none" w:sz="0" w:space="0" w:color="auto"/>
      </w:divBdr>
    </w:div>
    <w:div w:id="935819873">
      <w:bodyDiv w:val="1"/>
      <w:marLeft w:val="0"/>
      <w:marRight w:val="0"/>
      <w:marTop w:val="0"/>
      <w:marBottom w:val="0"/>
      <w:divBdr>
        <w:top w:val="none" w:sz="0" w:space="0" w:color="auto"/>
        <w:left w:val="none" w:sz="0" w:space="0" w:color="auto"/>
        <w:bottom w:val="none" w:sz="0" w:space="0" w:color="auto"/>
        <w:right w:val="none" w:sz="0" w:space="0" w:color="auto"/>
      </w:divBdr>
      <w:divsChild>
        <w:div w:id="1807354428">
          <w:marLeft w:val="0"/>
          <w:marRight w:val="0"/>
          <w:marTop w:val="0"/>
          <w:marBottom w:val="240"/>
          <w:divBdr>
            <w:top w:val="none" w:sz="0" w:space="0" w:color="auto"/>
            <w:left w:val="none" w:sz="0" w:space="0" w:color="auto"/>
            <w:bottom w:val="none" w:sz="0" w:space="0" w:color="auto"/>
            <w:right w:val="none" w:sz="0" w:space="0" w:color="auto"/>
          </w:divBdr>
          <w:divsChild>
            <w:div w:id="552086731">
              <w:marLeft w:val="0"/>
              <w:marRight w:val="0"/>
              <w:marTop w:val="0"/>
              <w:marBottom w:val="0"/>
              <w:divBdr>
                <w:top w:val="none" w:sz="0" w:space="0" w:color="auto"/>
                <w:left w:val="none" w:sz="0" w:space="0" w:color="auto"/>
                <w:bottom w:val="none" w:sz="0" w:space="0" w:color="auto"/>
                <w:right w:val="none" w:sz="0" w:space="0" w:color="auto"/>
              </w:divBdr>
            </w:div>
          </w:divsChild>
        </w:div>
        <w:div w:id="1782802197">
          <w:marLeft w:val="0"/>
          <w:marRight w:val="0"/>
          <w:marTop w:val="0"/>
          <w:marBottom w:val="240"/>
          <w:divBdr>
            <w:top w:val="none" w:sz="0" w:space="0" w:color="auto"/>
            <w:left w:val="none" w:sz="0" w:space="0" w:color="auto"/>
            <w:bottom w:val="none" w:sz="0" w:space="0" w:color="auto"/>
            <w:right w:val="none" w:sz="0" w:space="0" w:color="auto"/>
          </w:divBdr>
          <w:divsChild>
            <w:div w:id="684211911">
              <w:marLeft w:val="0"/>
              <w:marRight w:val="0"/>
              <w:marTop w:val="0"/>
              <w:marBottom w:val="0"/>
              <w:divBdr>
                <w:top w:val="none" w:sz="0" w:space="0" w:color="auto"/>
                <w:left w:val="none" w:sz="0" w:space="0" w:color="auto"/>
                <w:bottom w:val="none" w:sz="0" w:space="0" w:color="auto"/>
                <w:right w:val="none" w:sz="0" w:space="0" w:color="auto"/>
              </w:divBdr>
            </w:div>
          </w:divsChild>
        </w:div>
        <w:div w:id="1976907267">
          <w:marLeft w:val="0"/>
          <w:marRight w:val="0"/>
          <w:marTop w:val="0"/>
          <w:marBottom w:val="240"/>
          <w:divBdr>
            <w:top w:val="none" w:sz="0" w:space="0" w:color="auto"/>
            <w:left w:val="none" w:sz="0" w:space="0" w:color="auto"/>
            <w:bottom w:val="none" w:sz="0" w:space="0" w:color="auto"/>
            <w:right w:val="none" w:sz="0" w:space="0" w:color="auto"/>
          </w:divBdr>
          <w:divsChild>
            <w:div w:id="10136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 TargetMode="External"/><Relationship Id="rId13" Type="http://schemas.openxmlformats.org/officeDocument/2006/relationships/hyperlink" Target="https://www.biorxiv.org/"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ncbi.nlm.nih.gov/pmc/" TargetMode="External"/><Relationship Id="rId12" Type="http://schemas.openxmlformats.org/officeDocument/2006/relationships/hyperlink" Target="https://www.medrxiv.or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ncbi.nlm.nih.gov/pmc/about/nihpreprints/" TargetMode="External"/><Relationship Id="rId11" Type="http://schemas.openxmlformats.org/officeDocument/2006/relationships/hyperlink" Target="http://dx.doi.org/10.1371/journal.pbio.2003995"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nlmdirector.nlm.nih.gov/2020/06/09/the-nih-preprint-pilot-a-new-experiment-for-a-new-era/"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nlmdirector.nlm.nih.gov/2020/06/09/the-nih-preprint-pilot-a-new-experiment-for-a-new-era/" TargetMode="External"/><Relationship Id="rId14" Type="http://schemas.openxmlformats.org/officeDocument/2006/relationships/hyperlink" Target="https://arxiv.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6392</TotalTime>
  <Pages>5</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21</cp:revision>
  <dcterms:created xsi:type="dcterms:W3CDTF">2022-06-28T14:06:00Z</dcterms:created>
  <dcterms:modified xsi:type="dcterms:W3CDTF">2022-08-02T05:53:00Z</dcterms:modified>
</cp:coreProperties>
</file>