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92" w:rsidRPr="00CE0492" w:rsidRDefault="00CE0492" w:rsidP="00CE0492">
      <w:pPr>
        <w:shd w:val="clear" w:color="auto" w:fill="FFFFFF"/>
        <w:spacing w:before="75" w:after="75" w:line="336" w:lineRule="atLeast"/>
        <w:ind w:left="-75" w:right="-810"/>
        <w:outlineLvl w:val="1"/>
        <w:rPr>
          <w:rFonts w:ascii="Trebuchet MS" w:eastAsia="Times New Roman" w:hAnsi="Trebuchet MS" w:cs="Times New Roman"/>
          <w:b/>
          <w:bCs/>
          <w:color w:val="000000"/>
          <w:spacing w:val="24"/>
          <w:sz w:val="36"/>
          <w:szCs w:val="36"/>
        </w:rPr>
      </w:pPr>
      <w:r w:rsidRPr="00CE0492">
        <w:rPr>
          <w:rFonts w:ascii="Trebuchet MS" w:eastAsia="Times New Roman" w:hAnsi="Trebuchet MS" w:cs="Times New Roman"/>
          <w:b/>
          <w:bCs/>
          <w:color w:val="000000"/>
          <w:spacing w:val="24"/>
          <w:sz w:val="36"/>
          <w:szCs w:val="36"/>
        </w:rPr>
        <w:t>Select the Best Information Source</w:t>
      </w:r>
    </w:p>
    <w:p w:rsidR="00CE0492" w:rsidRPr="00CE0492" w:rsidRDefault="00CE0492" w:rsidP="00CE0492">
      <w:pPr>
        <w:spacing w:after="204" w:line="312" w:lineRule="atLeast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E0492">
        <w:rPr>
          <w:rFonts w:ascii="Trebuchet MS" w:eastAsia="Times New Roman" w:hAnsi="Trebuchet MS" w:cs="Times New Roman"/>
          <w:color w:val="000000"/>
          <w:sz w:val="24"/>
          <w:szCs w:val="24"/>
        </w:rPr>
        <w:t>See the below table to determine which sources are best for finding the type of information you need for your research project.</w:t>
      </w:r>
    </w:p>
    <w:p w:rsidR="00CE0492" w:rsidRPr="00CE0492" w:rsidRDefault="00CE0492" w:rsidP="00CE0492">
      <w:pPr>
        <w:spacing w:after="204" w:line="312" w:lineRule="atLeast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E0492">
        <w:rPr>
          <w:rFonts w:ascii="Trebuchet MS" w:eastAsia="Times New Roman" w:hAnsi="Trebuchet MS" w:cs="Times New Roman"/>
          <w:color w:val="000000"/>
          <w:sz w:val="24"/>
          <w:szCs w:val="24"/>
        </w:rPr>
        <w:t>To learn more about </w:t>
      </w:r>
      <w:r w:rsidRPr="00CE049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when</w:t>
      </w:r>
      <w:r w:rsidRPr="00CE0492">
        <w:rPr>
          <w:rFonts w:ascii="Trebuchet MS" w:eastAsia="Times New Roman" w:hAnsi="Trebuchet MS" w:cs="Times New Roman"/>
          <w:color w:val="000000"/>
          <w:sz w:val="24"/>
          <w:szCs w:val="24"/>
        </w:rPr>
        <w:t> these types of sources are published on an event or topic, see the </w:t>
      </w:r>
      <w:hyperlink r:id="rId6" w:tgtFrame="_self" w:tooltip="Information Cycle" w:history="1">
        <w:r w:rsidRPr="00CE0492">
          <w:rPr>
            <w:rFonts w:ascii="Trebuchet MS" w:eastAsia="Times New Roman" w:hAnsi="Trebuchet MS" w:cs="Times New Roman"/>
            <w:b/>
            <w:bCs/>
            <w:color w:val="333366"/>
            <w:sz w:val="24"/>
            <w:szCs w:val="24"/>
            <w:u w:val="single"/>
          </w:rPr>
          <w:t>Information Cycle</w:t>
        </w:r>
      </w:hyperlink>
      <w:r w:rsidRPr="00CE0492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tbl>
      <w:tblPr>
        <w:tblW w:w="15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2371"/>
        <w:gridCol w:w="2610"/>
        <w:gridCol w:w="9255"/>
      </w:tblGrid>
      <w:tr w:rsidR="00CE0492" w:rsidRPr="00CE0492" w:rsidTr="00CE0492">
        <w:trPr>
          <w:tblCellSpacing w:w="15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60" w:after="60" w:line="240" w:lineRule="atLeast"/>
              <w:outlineLvl w:val="2"/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  <w:t>Source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60" w:after="60" w:line="240" w:lineRule="atLeast"/>
              <w:outlineLvl w:val="2"/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  <w:t>Best For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60" w:after="60" w:line="240" w:lineRule="atLeast"/>
              <w:outlineLvl w:val="2"/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  <w:t>Intended Audience 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60" w:after="60" w:line="240" w:lineRule="atLeast"/>
              <w:outlineLvl w:val="2"/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b/>
                <w:bCs/>
                <w:color w:val="CB6608"/>
                <w:sz w:val="18"/>
                <w:szCs w:val="18"/>
              </w:rPr>
              <w:t>Watch For/Consider</w:t>
            </w:r>
          </w:p>
        </w:tc>
      </w:tr>
      <w:tr w:rsidR="00CE0492" w:rsidRPr="00CE0492" w:rsidTr="00CE0492">
        <w:trPr>
          <w:tblCellSpacing w:w="15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hyperlink r:id="rId7" w:anchor="newspapers" w:tgtFrame="_self" w:tooltip="Newspapers" w:history="1"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  <w:u w:val="single"/>
                </w:rPr>
                <w:t>Newspapers</w:t>
              </w:r>
            </w:hyperlink>
          </w:p>
          <w:p w:rsidR="00CE0492" w:rsidRPr="00CE0492" w:rsidRDefault="00CE0492" w:rsidP="00CE0492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Daily local, national, and international news, events, and editorial coverage</w:t>
            </w:r>
          </w:p>
          <w:p w:rsidR="00CE0492" w:rsidRPr="00CE0492" w:rsidRDefault="00CE0492" w:rsidP="00CE04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Statistics and photojournalism</w:t>
            </w:r>
          </w:p>
          <w:p w:rsidR="00CE0492" w:rsidRPr="00CE0492" w:rsidRDefault="00CE0492" w:rsidP="00CE04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Record of events and quotes from experts, officials, and witnesses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General audience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Authors usually not experts</w:t>
            </w:r>
          </w:p>
          <w:p w:rsidR="00CE0492" w:rsidRPr="00CE0492" w:rsidRDefault="00CE0492" w:rsidP="00CE04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If a story is breaking, corrections to initial report likely</w:t>
            </w:r>
          </w:p>
          <w:p w:rsidR="00CE0492" w:rsidRPr="00CE0492" w:rsidRDefault="00CE0492" w:rsidP="00CE04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Editorial bias of a publication</w:t>
            </w:r>
          </w:p>
        </w:tc>
      </w:tr>
      <w:tr w:rsidR="00CE0492" w:rsidRPr="00CE0492" w:rsidTr="00CE0492">
        <w:trPr>
          <w:tblCellSpacing w:w="15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hyperlink r:id="rId8" w:tgtFrame="_self" w:tooltip="Popular Magazines" w:history="1"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  <w:u w:val="single"/>
                </w:rPr>
                <w:t>Popular Magazines</w:t>
              </w:r>
            </w:hyperlink>
            <w:r w:rsidRPr="00CE0492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Current information </w:t>
            </w:r>
          </w:p>
          <w:p w:rsidR="00CE0492" w:rsidRPr="00CE0492" w:rsidRDefault="00CE0492" w:rsidP="00CE04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Short, easy to understand articles (including analysis, interviews, opinions, etc.)</w:t>
            </w:r>
          </w:p>
          <w:p w:rsidR="00CE0492" w:rsidRPr="00CE0492" w:rsidRDefault="00CE0492" w:rsidP="00CE049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Photographs and illustrations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General </w:t>
            </w:r>
            <w:proofErr w:type="gramStart"/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audience,</w:t>
            </w:r>
            <w:proofErr w:type="gramEnd"/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or those with a specific, recreational interest (e.g. sports, fashion, science, etc.) 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Authors usually not experts</w:t>
            </w:r>
          </w:p>
          <w:p w:rsidR="00CE0492" w:rsidRPr="00CE0492" w:rsidRDefault="00CE0492" w:rsidP="00CE04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Sources not always cited</w:t>
            </w:r>
          </w:p>
          <w:p w:rsidR="00CE0492" w:rsidRPr="00CE0492" w:rsidRDefault="00CE0492" w:rsidP="00CE04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Editorial bias of a publication</w:t>
            </w:r>
          </w:p>
        </w:tc>
      </w:tr>
      <w:tr w:rsidR="00CE0492" w:rsidRPr="00CE0492" w:rsidTr="00CE0492">
        <w:trPr>
          <w:tblCellSpacing w:w="15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hyperlink r:id="rId9" w:tgtFrame="_self" w:tooltip="Professional/Trade Magazines" w:history="1"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</w:rPr>
                <w:t>Professional/Trade </w:t>
              </w:r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</w:rPr>
                <w:br/>
                <w:t>Magazines</w:t>
              </w:r>
            </w:hyperlink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Current information </w:t>
            </w:r>
          </w:p>
          <w:p w:rsidR="00CE0492" w:rsidRPr="00CE0492" w:rsidRDefault="00CE0492" w:rsidP="00CE049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Specialized articles related to a particular discipline or profession (including context </w:t>
            </w: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lastRenderedPageBreak/>
              <w:t>and analysis)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lastRenderedPageBreak/>
              <w:t>Professional organizations or professionals/scholars with similar interests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Articles vary between short and easy to lengthy and highly specific</w:t>
            </w:r>
          </w:p>
          <w:p w:rsidR="00CE0492" w:rsidRPr="00CE0492" w:rsidRDefault="00CE0492" w:rsidP="00CE049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Sources not always cited</w:t>
            </w:r>
          </w:p>
          <w:p w:rsidR="00CE0492" w:rsidRPr="00CE0492" w:rsidRDefault="00CE0492" w:rsidP="00CE049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Has characteristics in common with both popular magazines and scholarly journals</w:t>
            </w:r>
          </w:p>
        </w:tc>
      </w:tr>
      <w:tr w:rsidR="00CE0492" w:rsidRPr="00CE0492" w:rsidTr="00CE0492">
        <w:trPr>
          <w:tblCellSpacing w:w="15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hyperlink r:id="rId10" w:tgtFrame="_self" w:tooltip="Scholarly/Academic Journals" w:history="1"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</w:rPr>
                <w:t>Scholarly/Academic</w:t>
              </w:r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</w:rPr>
                <w:br/>
                <w:t> Journals</w:t>
              </w:r>
            </w:hyperlink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Recent research on a topic </w:t>
            </w:r>
          </w:p>
          <w:p w:rsidR="00CE0492" w:rsidRPr="00CE0492" w:rsidRDefault="00CE0492" w:rsidP="00CE04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Focused, peer-reviewed articles written by experts</w:t>
            </w:r>
          </w:p>
          <w:p w:rsidR="00CE0492" w:rsidRPr="00CE0492" w:rsidRDefault="00CE0492" w:rsidP="00CE04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Data, statistics, charts, and graphs</w:t>
            </w:r>
          </w:p>
          <w:p w:rsidR="00CE0492" w:rsidRPr="00CE0492" w:rsidRDefault="00CE0492" w:rsidP="00CE049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Bibliographies of other sources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Scholars, researchers, professionals, and university students in particular field 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Terminology and/or data may be difficult for novices to understand</w:t>
            </w:r>
          </w:p>
        </w:tc>
      </w:tr>
      <w:tr w:rsidR="00CE0492" w:rsidRPr="00CE0492" w:rsidTr="00CE0492">
        <w:trPr>
          <w:tblCellSpacing w:w="15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hyperlink r:id="rId11" w:tgtFrame="_self" w:tooltip="Books" w:history="1"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  <w:u w:val="single"/>
                </w:rPr>
                <w:t>Books</w:t>
              </w:r>
            </w:hyperlink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Comprehensive overview of topic</w:t>
            </w:r>
          </w:p>
          <w:p w:rsidR="00CE0492" w:rsidRPr="00CE0492" w:rsidRDefault="00CE0492" w:rsidP="00CE049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Background and historical context</w:t>
            </w:r>
          </w:p>
          <w:p w:rsidR="00CE0492" w:rsidRPr="00CE0492" w:rsidRDefault="00CE0492" w:rsidP="00CE049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Bibliographies of other sources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Varies (general audience through scholars) 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Dated information</w:t>
            </w:r>
          </w:p>
          <w:p w:rsidR="00CE0492" w:rsidRPr="00CE0492" w:rsidRDefault="00CE0492" w:rsidP="00CE049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Bias (dependent on author, publisher, etc.)</w:t>
            </w:r>
          </w:p>
        </w:tc>
      </w:tr>
      <w:tr w:rsidR="00CE0492" w:rsidRPr="00CE0492" w:rsidTr="00CE0492">
        <w:trPr>
          <w:tblCellSpacing w:w="15" w:type="dxa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spacing w:before="100" w:beforeAutospacing="1" w:after="100" w:afterAutospacing="1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hyperlink r:id="rId12" w:tgtFrame="_self" w:tooltip="Websites" w:history="1">
              <w:r w:rsidRPr="00CE0492">
                <w:rPr>
                  <w:rFonts w:ascii="Trebuchet MS" w:eastAsia="Times New Roman" w:hAnsi="Trebuchet MS" w:cs="Times New Roman"/>
                  <w:b/>
                  <w:bCs/>
                  <w:color w:val="333366"/>
                  <w:sz w:val="18"/>
                  <w:szCs w:val="18"/>
                  <w:u w:val="single"/>
                </w:rPr>
                <w:t>Websites</w:t>
              </w:r>
            </w:hyperlink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News</w:t>
            </w:r>
          </w:p>
          <w:p w:rsidR="00CE0492" w:rsidRPr="00CE0492" w:rsidRDefault="00CE0492" w:rsidP="00CE049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Government information </w:t>
            </w:r>
          </w:p>
          <w:p w:rsidR="00CE0492" w:rsidRPr="00CE0492" w:rsidRDefault="00CE0492" w:rsidP="00CE049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Company information</w:t>
            </w:r>
          </w:p>
          <w:p w:rsidR="00CE0492" w:rsidRPr="00CE0492" w:rsidRDefault="00CE0492" w:rsidP="00CE049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Alternate points of view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General audience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492" w:rsidRPr="00CE0492" w:rsidRDefault="00CE0492" w:rsidP="00CE049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Credibility and accuracy cannot always be assured </w:t>
            </w:r>
          </w:p>
          <w:p w:rsidR="00CE0492" w:rsidRPr="00CE0492" w:rsidRDefault="00CE0492" w:rsidP="00CE049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Bias (dependent on author, publisher, etc.)</w:t>
            </w:r>
          </w:p>
          <w:p w:rsidR="00CE0492" w:rsidRPr="00CE0492" w:rsidRDefault="00CE0492" w:rsidP="00CE049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E0492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Sources not always cited</w:t>
            </w:r>
          </w:p>
        </w:tc>
      </w:tr>
    </w:tbl>
    <w:p w:rsidR="00A37B0E" w:rsidRDefault="00A37B0E"/>
    <w:p w:rsidR="00491159" w:rsidRDefault="00491159"/>
    <w:p w:rsidR="00491159" w:rsidRPr="00491159" w:rsidRDefault="00491159" w:rsidP="00491159">
      <w:pPr>
        <w:shd w:val="clear" w:color="auto" w:fill="FFFFFF"/>
        <w:spacing w:before="75" w:after="75" w:line="336" w:lineRule="atLeast"/>
        <w:ind w:left="-75" w:right="-75"/>
        <w:outlineLvl w:val="1"/>
        <w:rPr>
          <w:rFonts w:ascii="Trebuchet MS" w:eastAsia="Times New Roman" w:hAnsi="Trebuchet MS" w:cs="Times New Roman"/>
          <w:b/>
          <w:bCs/>
          <w:color w:val="000000"/>
          <w:spacing w:val="24"/>
          <w:sz w:val="36"/>
          <w:szCs w:val="36"/>
        </w:rPr>
      </w:pPr>
      <w:r w:rsidRPr="00491159">
        <w:rPr>
          <w:rFonts w:ascii="Trebuchet MS" w:eastAsia="Times New Roman" w:hAnsi="Trebuchet MS" w:cs="Times New Roman"/>
          <w:b/>
          <w:bCs/>
          <w:color w:val="000000"/>
          <w:spacing w:val="24"/>
          <w:sz w:val="36"/>
          <w:szCs w:val="36"/>
        </w:rPr>
        <w:t>Databases   </w:t>
      </w:r>
    </w:p>
    <w:p w:rsidR="00491159" w:rsidRPr="00491159" w:rsidRDefault="00491159" w:rsidP="00491159">
      <w:pPr>
        <w:shd w:val="clear" w:color="auto" w:fill="FFFFFF"/>
        <w:spacing w:before="60" w:after="60" w:line="240" w:lineRule="atLeast"/>
        <w:outlineLvl w:val="2"/>
        <w:rPr>
          <w:rFonts w:ascii="Trebuchet MS" w:eastAsia="Times New Roman" w:hAnsi="Trebuchet MS" w:cs="Times New Roman"/>
          <w:b/>
          <w:bCs/>
          <w:color w:val="CB6608"/>
          <w:sz w:val="27"/>
          <w:szCs w:val="27"/>
        </w:rPr>
      </w:pPr>
      <w:r w:rsidRPr="00491159">
        <w:rPr>
          <w:rFonts w:ascii="Trebuchet MS" w:eastAsia="Times New Roman" w:hAnsi="Trebuchet MS" w:cs="Times New Roman"/>
          <w:b/>
          <w:bCs/>
          <w:color w:val="CB6608"/>
          <w:sz w:val="27"/>
          <w:szCs w:val="27"/>
        </w:rPr>
        <w:t>What is a database?</w:t>
      </w:r>
    </w:p>
    <w:p w:rsidR="00491159" w:rsidRPr="00491159" w:rsidRDefault="00491159" w:rsidP="004911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1159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Library databases allow you to efficiently search for published information such as magazine, journal, and newspaper articles. Library databases can be general (all disciplines) or discipline-specific (e.g. a psychology database). </w:t>
      </w:r>
    </w:p>
    <w:p w:rsidR="00491159" w:rsidRPr="00491159" w:rsidRDefault="00491159" w:rsidP="00491159">
      <w:pPr>
        <w:shd w:val="clear" w:color="auto" w:fill="FFFFFF"/>
        <w:spacing w:before="60" w:after="60" w:line="240" w:lineRule="atLeast"/>
        <w:outlineLvl w:val="2"/>
        <w:rPr>
          <w:rFonts w:ascii="Trebuchet MS" w:eastAsia="Times New Roman" w:hAnsi="Trebuchet MS" w:cs="Times New Roman"/>
          <w:b/>
          <w:bCs/>
          <w:color w:val="CB6608"/>
          <w:sz w:val="27"/>
          <w:szCs w:val="27"/>
        </w:rPr>
      </w:pPr>
      <w:r w:rsidRPr="00491159">
        <w:rPr>
          <w:rFonts w:ascii="Trebuchet MS" w:eastAsia="Times New Roman" w:hAnsi="Trebuchet MS" w:cs="Times New Roman"/>
          <w:b/>
          <w:bCs/>
          <w:color w:val="CB6608"/>
          <w:sz w:val="27"/>
          <w:szCs w:val="27"/>
        </w:rPr>
        <w:t>Why use a database?</w:t>
      </w:r>
    </w:p>
    <w:p w:rsidR="00491159" w:rsidRPr="00491159" w:rsidRDefault="00491159" w:rsidP="004911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115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Reliable - </w:t>
      </w:r>
      <w:r w:rsidRPr="00491159">
        <w:rPr>
          <w:rFonts w:ascii="Trebuchet MS" w:eastAsia="Times New Roman" w:hAnsi="Trebuchet MS" w:cs="Times New Roman"/>
          <w:color w:val="000000"/>
          <w:sz w:val="24"/>
          <w:szCs w:val="24"/>
        </w:rPr>
        <w:t>Many articles found in library databases have undergone a peer review process and are generally more reliable than information found on the Internet. Additionally, databases provide all the information you need to evaluate a source for credibility (such as author name, publication details, and a summary).</w:t>
      </w:r>
    </w:p>
    <w:p w:rsidR="00491159" w:rsidRPr="00491159" w:rsidRDefault="00491159" w:rsidP="004911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115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Relevant -</w:t>
      </w:r>
      <w:r w:rsidRPr="00491159">
        <w:rPr>
          <w:rFonts w:ascii="Trebuchet MS" w:eastAsia="Times New Roman" w:hAnsi="Trebuchet MS" w:cs="Times New Roman"/>
          <w:color w:val="000000"/>
          <w:sz w:val="24"/>
          <w:szCs w:val="24"/>
        </w:rPr>
        <w:t> Library databases allow you to customize your search to get the most relevant results. You can search using keywords, discipline-specific terminology, subject headings, and descriptors. You can also search by author, title, and limit your results using various criteria (date, source type, etc.).</w:t>
      </w:r>
    </w:p>
    <w:p w:rsidR="00491159" w:rsidRPr="00491159" w:rsidRDefault="00491159" w:rsidP="0049115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9115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Accessible - </w:t>
      </w:r>
      <w:r w:rsidRPr="00491159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Databases often provide access to the full-text of an article so you do not need to go to the library to retrieve it in person. Additionally, databases access is purchased by libraries for its patrons </w:t>
      </w:r>
      <w:proofErr w:type="gramStart"/>
      <w:r w:rsidRPr="00491159">
        <w:rPr>
          <w:rFonts w:ascii="Trebuchet MS" w:eastAsia="Times New Roman" w:hAnsi="Trebuchet MS" w:cs="Times New Roman"/>
          <w:color w:val="000000"/>
          <w:sz w:val="24"/>
          <w:szCs w:val="24"/>
        </w:rPr>
        <w:t>which</w:t>
      </w:r>
      <w:proofErr w:type="gramEnd"/>
      <w:r w:rsidRPr="00491159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allows you to access otherwise pricey information at no charge. </w:t>
      </w:r>
    </w:p>
    <w:p w:rsidR="00491159" w:rsidRDefault="00491159">
      <w:bookmarkStart w:id="0" w:name="_GoBack"/>
      <w:bookmarkEnd w:id="0"/>
    </w:p>
    <w:sectPr w:rsidR="00491159" w:rsidSect="00CE04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7A16"/>
    <w:multiLevelType w:val="multilevel"/>
    <w:tmpl w:val="EEF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445EC"/>
    <w:multiLevelType w:val="multilevel"/>
    <w:tmpl w:val="7AC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D76AE"/>
    <w:multiLevelType w:val="multilevel"/>
    <w:tmpl w:val="8E80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F62F8"/>
    <w:multiLevelType w:val="multilevel"/>
    <w:tmpl w:val="20C6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802FB"/>
    <w:multiLevelType w:val="multilevel"/>
    <w:tmpl w:val="020E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E069D"/>
    <w:multiLevelType w:val="multilevel"/>
    <w:tmpl w:val="C592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B7CBA"/>
    <w:multiLevelType w:val="multilevel"/>
    <w:tmpl w:val="805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A4E7A"/>
    <w:multiLevelType w:val="multilevel"/>
    <w:tmpl w:val="AE3A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26EA3"/>
    <w:multiLevelType w:val="multilevel"/>
    <w:tmpl w:val="89C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B4F2D"/>
    <w:multiLevelType w:val="multilevel"/>
    <w:tmpl w:val="664C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0488F"/>
    <w:multiLevelType w:val="multilevel"/>
    <w:tmpl w:val="BA7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943C9"/>
    <w:multiLevelType w:val="multilevel"/>
    <w:tmpl w:val="92B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1788B"/>
    <w:multiLevelType w:val="multilevel"/>
    <w:tmpl w:val="5F32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01F67"/>
    <w:multiLevelType w:val="multilevel"/>
    <w:tmpl w:val="E86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370FC"/>
    <w:multiLevelType w:val="multilevel"/>
    <w:tmpl w:val="9658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02A0E"/>
    <w:multiLevelType w:val="multilevel"/>
    <w:tmpl w:val="461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E07B9"/>
    <w:multiLevelType w:val="multilevel"/>
    <w:tmpl w:val="EC7C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72711F"/>
    <w:multiLevelType w:val="multilevel"/>
    <w:tmpl w:val="F5AE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B6F99"/>
    <w:multiLevelType w:val="multilevel"/>
    <w:tmpl w:val="0E8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03BD7"/>
    <w:multiLevelType w:val="multilevel"/>
    <w:tmpl w:val="E48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19"/>
  </w:num>
  <w:num w:numId="11">
    <w:abstractNumId w:val="17"/>
  </w:num>
  <w:num w:numId="12">
    <w:abstractNumId w:val="7"/>
  </w:num>
  <w:num w:numId="13">
    <w:abstractNumId w:val="12"/>
  </w:num>
  <w:num w:numId="14">
    <w:abstractNumId w:val="5"/>
  </w:num>
  <w:num w:numId="15">
    <w:abstractNumId w:val="8"/>
  </w:num>
  <w:num w:numId="16">
    <w:abstractNumId w:val="0"/>
  </w:num>
  <w:num w:numId="17">
    <w:abstractNumId w:val="11"/>
  </w:num>
  <w:num w:numId="18">
    <w:abstractNumId w:val="1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4A"/>
    <w:rsid w:val="000922FE"/>
    <w:rsid w:val="002D59F5"/>
    <w:rsid w:val="00491159"/>
    <w:rsid w:val="00A37B0E"/>
    <w:rsid w:val="00CE0492"/>
    <w:rsid w:val="00E750BE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0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E0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4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0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E04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492"/>
  </w:style>
  <w:style w:type="character" w:styleId="Emphasis">
    <w:name w:val="Emphasis"/>
    <w:basedOn w:val="DefaultParagraphFont"/>
    <w:uiPriority w:val="20"/>
    <w:qFormat/>
    <w:rsid w:val="00CE04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E04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04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0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E0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4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0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E04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492"/>
  </w:style>
  <w:style w:type="character" w:styleId="Emphasis">
    <w:name w:val="Emphasis"/>
    <w:basedOn w:val="DefaultParagraphFont"/>
    <w:uiPriority w:val="20"/>
    <w:qFormat/>
    <w:rsid w:val="00CE04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E04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0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illinois.edu/ugl/find/articleguid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brary.illinois.edu/ugl/find/articleguide.html" TargetMode="External"/><Relationship Id="rId12" Type="http://schemas.openxmlformats.org/officeDocument/2006/relationships/hyperlink" Target="http://www.library.illinois.edu/ugl/howdoi/webev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illinois.edu/ugl/howdoi/informationcycle.html" TargetMode="External"/><Relationship Id="rId11" Type="http://schemas.openxmlformats.org/officeDocument/2006/relationships/hyperlink" Target="http://vufind.carli.illinois.edu/vf-ui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rary.illinois.edu/ugl/find/article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illinois.edu/ugl/find/articleguid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2017-01-11T12:55:00Z</dcterms:created>
  <dcterms:modified xsi:type="dcterms:W3CDTF">2017-01-11T16:49:00Z</dcterms:modified>
</cp:coreProperties>
</file>