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5DE0" w14:textId="6FCE7FFC" w:rsidR="002F1759" w:rsidRPr="00EA4E61" w:rsidRDefault="002F1759" w:rsidP="002F1759">
      <w:pPr>
        <w:jc w:val="center"/>
        <w:rPr>
          <w:rFonts w:ascii="Book Antiqua" w:hAnsi="Book Antiqua" w:cs="Arial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CiteScore</w:t>
      </w:r>
      <w:proofErr w:type="spellEnd"/>
    </w:p>
    <w:p w14:paraId="542BCE5E" w14:textId="03BB7A9C" w:rsidR="002F1759" w:rsidRPr="00EA4E61" w:rsidRDefault="002F1759" w:rsidP="002F1759">
      <w:pPr>
        <w:spacing w:line="360" w:lineRule="auto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proofErr w:type="spellStart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CiteScore</w:t>
      </w:r>
      <w:proofErr w:type="spellEnd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is a new journal metric launched by M/s Elsevier in the year 2016. It is a 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part of the Scopus basket of journal metrics that includes SNIP (Source Normalized Impact per Paper), SJR (</w:t>
      </w:r>
      <w:proofErr w:type="spellStart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SCImago</w:t>
      </w:r>
      <w:proofErr w:type="spellEnd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Journal Rank), citation- and document- counts and percentage cite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. </w:t>
      </w:r>
    </w:p>
    <w:p w14:paraId="3093AB3B" w14:textId="7ADE9181" w:rsidR="00FA2250" w:rsidRPr="00EA4E61" w:rsidRDefault="002F1759" w:rsidP="00FA2250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Unlike the Journal Impact Factor of the Thomson </w:t>
      </w:r>
      <w:r w:rsidR="00FA2250" w:rsidRPr="00EA4E61">
        <w:rPr>
          <w:rFonts w:ascii="Book Antiqua" w:hAnsi="Book Antiqua" w:cs="Arial"/>
          <w:sz w:val="24"/>
          <w:szCs w:val="24"/>
          <w:shd w:val="clear" w:color="auto" w:fill="FFFFFF"/>
        </w:rPr>
        <w:t>Reuters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FA2250" w:rsidRPr="00EA4E61">
        <w:rPr>
          <w:rFonts w:ascii="Book Antiqua" w:hAnsi="Book Antiqua" w:cs="Arial"/>
          <w:sz w:val="24"/>
          <w:szCs w:val="24"/>
          <w:shd w:val="clear" w:color="auto" w:fill="FFFFFF"/>
        </w:rPr>
        <w:t>which calculates the impact factor value based on the citation received in the previous two years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, the </w:t>
      </w:r>
      <w:proofErr w:type="spellStart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CiteScore</w:t>
      </w:r>
      <w:proofErr w:type="spellEnd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FA2250"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calculates the value based on the citations received for a journal in the previous three years. </w:t>
      </w:r>
    </w:p>
    <w:p w14:paraId="6691B491" w14:textId="563A4D3F" w:rsidR="00FA2250" w:rsidRPr="00EA4E61" w:rsidRDefault="00FA2250" w:rsidP="00FA2250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As an example, to calculate a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9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value, </w:t>
      </w:r>
      <w:proofErr w:type="spellStart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CiteScore</w:t>
      </w:r>
      <w:proofErr w:type="spellEnd"/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counts the citations received in 2015 to documents published in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6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,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7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or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8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. This number is divided by the number of documents indexed on Scopus published in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6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,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7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 and 201</w:t>
      </w:r>
      <w:r w:rsidR="00EB1F6F" w:rsidRPr="00EA4E61">
        <w:rPr>
          <w:rFonts w:ascii="Book Antiqua" w:hAnsi="Book Antiqua" w:cs="Arial"/>
          <w:sz w:val="24"/>
          <w:szCs w:val="24"/>
          <w:shd w:val="clear" w:color="auto" w:fill="FFFFFF"/>
        </w:rPr>
        <w:t>8</w:t>
      </w: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>.</w:t>
      </w:r>
    </w:p>
    <w:p w14:paraId="26B3145B" w14:textId="2C1CC3D6" w:rsidR="00FA2250" w:rsidRPr="00EA4E61" w:rsidRDefault="00FA2250" w:rsidP="00FA2250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en-IN"/>
        </w:rPr>
      </w:pPr>
      <w:r w:rsidRPr="00EA4E61">
        <w:rPr>
          <w:rFonts w:ascii="Book Antiqua" w:hAnsi="Book Antiqua" w:cs="Arial"/>
          <w:sz w:val="24"/>
          <w:szCs w:val="24"/>
          <w:shd w:val="clear" w:color="auto" w:fill="FFFFFF"/>
        </w:rPr>
        <w:t xml:space="preserve">Also, the </w:t>
      </w:r>
      <w:proofErr w:type="spellStart"/>
      <w:r w:rsidRPr="00EA4E61">
        <w:rPr>
          <w:rFonts w:ascii="Book Antiqua" w:eastAsia="Times New Roman" w:hAnsi="Book Antiqua" w:cs="Arial"/>
          <w:bCs/>
          <w:sz w:val="24"/>
          <w:szCs w:val="24"/>
          <w:lang w:eastAsia="en-IN"/>
        </w:rPr>
        <w:t>CiteScore’s</w:t>
      </w:r>
      <w:proofErr w:type="spellEnd"/>
      <w:r w:rsidRPr="00EA4E61">
        <w:rPr>
          <w:rFonts w:ascii="Book Antiqua" w:eastAsia="Times New Roman" w:hAnsi="Book Antiqua" w:cs="Arial"/>
          <w:b/>
          <w:bCs/>
          <w:sz w:val="24"/>
          <w:szCs w:val="24"/>
          <w:lang w:eastAsia="en-IN"/>
        </w:rPr>
        <w:t xml:space="preserve"> </w:t>
      </w:r>
      <w:r w:rsidRPr="00EA4E61">
        <w:rPr>
          <w:rFonts w:ascii="Book Antiqua" w:eastAsia="Times New Roman" w:hAnsi="Book Antiqua" w:cs="Arial"/>
          <w:bCs/>
          <w:sz w:val="24"/>
          <w:szCs w:val="24"/>
          <w:lang w:eastAsia="en-IN"/>
        </w:rPr>
        <w:t>numerator and denominator both include all document types</w:t>
      </w:r>
      <w:r w:rsidRPr="00EA4E61">
        <w:rPr>
          <w:rFonts w:ascii="Book Antiqua" w:eastAsia="Times New Roman" w:hAnsi="Book Antiqua" w:cs="Arial"/>
          <w:b/>
          <w:bCs/>
          <w:sz w:val="24"/>
          <w:szCs w:val="24"/>
          <w:lang w:eastAsia="en-IN"/>
        </w:rPr>
        <w:t>.</w:t>
      </w:r>
      <w:r w:rsidRPr="00EA4E61">
        <w:rPr>
          <w:rFonts w:ascii="Book Antiqua" w:eastAsia="Times New Roman" w:hAnsi="Book Antiqua" w:cs="Arial"/>
          <w:sz w:val="24"/>
          <w:szCs w:val="24"/>
          <w:lang w:eastAsia="en-IN"/>
        </w:rPr>
        <w:t xml:space="preserve"> This means not only articles and reviews but also letters, notes, editorials, conference papers and other documents indexed by Scopus are included. As a result, the numerator and the denominator used in the </w:t>
      </w:r>
      <w:proofErr w:type="spellStart"/>
      <w:r w:rsidRPr="00EA4E61">
        <w:rPr>
          <w:rFonts w:ascii="Book Antiqua" w:eastAsia="Times New Roman" w:hAnsi="Book Antiqua" w:cs="Arial"/>
          <w:sz w:val="24"/>
          <w:szCs w:val="24"/>
          <w:lang w:eastAsia="en-IN"/>
        </w:rPr>
        <w:t>CiteScore</w:t>
      </w:r>
      <w:proofErr w:type="spellEnd"/>
      <w:r w:rsidRPr="00EA4E61">
        <w:rPr>
          <w:rFonts w:ascii="Book Antiqua" w:eastAsia="Times New Roman" w:hAnsi="Book Antiqua" w:cs="Arial"/>
          <w:sz w:val="24"/>
          <w:szCs w:val="24"/>
          <w:lang w:eastAsia="en-IN"/>
        </w:rPr>
        <w:t xml:space="preserve"> calculation are consistent. This approach gives a more complete picture of citation impact and makes manipulating the calculation more difficult.</w:t>
      </w:r>
      <w:r w:rsidRPr="00EA4E61">
        <w:rPr>
          <w:rFonts w:ascii="Book Antiqua" w:eastAsia="Times New Roman" w:hAnsi="Book Antiqua" w:cs="Arial"/>
          <w:sz w:val="24"/>
          <w:szCs w:val="24"/>
          <w:lang w:eastAsia="en-IN"/>
        </w:rPr>
        <w:t xml:space="preserve"> </w:t>
      </w:r>
    </w:p>
    <w:p w14:paraId="4A5B70CA" w14:textId="61964D45" w:rsidR="002F1759" w:rsidRPr="00EA4E61" w:rsidRDefault="002F1759" w:rsidP="002F1759">
      <w:pPr>
        <w:spacing w:line="360" w:lineRule="auto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</w:p>
    <w:p w14:paraId="794C91CA" w14:textId="77777777" w:rsidR="002F1759" w:rsidRPr="00EA4E61" w:rsidRDefault="002F1759">
      <w:pPr>
        <w:rPr>
          <w:rFonts w:ascii="Book Antiqua" w:hAnsi="Book Antiqua"/>
          <w:sz w:val="24"/>
          <w:szCs w:val="24"/>
        </w:rPr>
      </w:pPr>
    </w:p>
    <w:sectPr w:rsidR="002F1759" w:rsidRPr="00EA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D16"/>
    <w:multiLevelType w:val="multilevel"/>
    <w:tmpl w:val="742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MTU0t7A0NTU0NTRR0lEKTi0uzszPAykwrAUACnShWSwAAAA="/>
  </w:docVars>
  <w:rsids>
    <w:rsidRoot w:val="002F1759"/>
    <w:rsid w:val="002D1983"/>
    <w:rsid w:val="002F1759"/>
    <w:rsid w:val="00EA4E61"/>
    <w:rsid w:val="00EB1F6F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5B20"/>
  <w15:chartTrackingRefBased/>
  <w15:docId w15:val="{216F3A32-BE48-4042-BE64-E0852BF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2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2019-05-02T04:32:00Z</dcterms:created>
  <dcterms:modified xsi:type="dcterms:W3CDTF">2019-05-02T05:57:00Z</dcterms:modified>
</cp:coreProperties>
</file>