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1DC0C" w14:textId="3CCE4E2C" w:rsidR="003B715E" w:rsidRDefault="00A26805" w:rsidP="00A26805">
      <w:r>
        <w:t>In a landmark reform, higher educational institutions in the country have been allowed Certificate, Diploma and Degree Programmes in online mode under the University Grants Commission (Online Courses) Regulations, 2018</w:t>
      </w:r>
      <w:r>
        <w:t>.</w:t>
      </w:r>
    </w:p>
    <w:p w14:paraId="5199B099" w14:textId="77777777" w:rsidR="00A26805" w:rsidRPr="00A26805" w:rsidRDefault="00A26805" w:rsidP="00A26805"/>
    <w:sectPr w:rsidR="00A26805" w:rsidRPr="00A26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05"/>
    <w:rsid w:val="003B715E"/>
    <w:rsid w:val="00A26805"/>
    <w:rsid w:val="00D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DD7D"/>
  <w15:chartTrackingRefBased/>
  <w15:docId w15:val="{E3792E2C-4544-4717-9804-C8D71D28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2020-09-17T17:41:00Z</dcterms:created>
  <dcterms:modified xsi:type="dcterms:W3CDTF">2020-09-17T18:30:00Z</dcterms:modified>
</cp:coreProperties>
</file>