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5D" w:rsidRPr="00772684" w:rsidRDefault="007A0344" w:rsidP="00E70DBF">
      <w:pPr>
        <w:pStyle w:val="Title"/>
        <w:pBdr>
          <w:bottom w:val="none" w:sz="0" w:space="0" w:color="auto"/>
        </w:pBdr>
        <w:spacing w:after="0" w:line="360" w:lineRule="auto"/>
        <w:jc w:val="center"/>
        <w:rPr>
          <w:rStyle w:val="SubtleReferenc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772684">
        <w:rPr>
          <w:rStyle w:val="SubtleReferenc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O</w:t>
      </w:r>
      <w:r w:rsidRPr="00772684">
        <w:rPr>
          <w:rStyle w:val="SubtleReference"/>
          <w:rFonts w:ascii="Times New Roman" w:hAnsi="Times New Roman" w:cs="Times New Roman"/>
          <w:b/>
          <w:color w:val="000000" w:themeColor="text1"/>
          <w:sz w:val="24"/>
          <w:szCs w:val="28"/>
          <w:u w:val="none"/>
        </w:rPr>
        <w:t>UTREACH</w:t>
      </w:r>
      <w:r w:rsidRPr="00772684">
        <w:rPr>
          <w:rStyle w:val="SubtleReferenc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S</w:t>
      </w:r>
      <w:r w:rsidRPr="00772684">
        <w:rPr>
          <w:rStyle w:val="SubtleReference"/>
          <w:rFonts w:ascii="Times New Roman" w:hAnsi="Times New Roman" w:cs="Times New Roman"/>
          <w:b/>
          <w:color w:val="000000" w:themeColor="text1"/>
          <w:sz w:val="24"/>
          <w:szCs w:val="28"/>
          <w:u w:val="none"/>
        </w:rPr>
        <w:t>ERVICES</w:t>
      </w:r>
    </w:p>
    <w:p w:rsidR="00E70DBF" w:rsidRDefault="00E70DBF" w:rsidP="00E70DBF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B2907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In addition to the diagnostic and therapeutic services provided within its walls, the institute </w:t>
      </w:r>
      <w:r w:rsidR="00686E8C"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carries out </w:t>
      </w:r>
      <w:r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various outreach </w:t>
      </w:r>
      <w:r w:rsidR="00365F6D"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services on </w:t>
      </w:r>
      <w:r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communication and its disorders in different parts of the country.  </w:t>
      </w:r>
      <w:r w:rsidR="00365F6D"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The major </w:t>
      </w:r>
      <w:r w:rsidRPr="00E70DBF">
        <w:rPr>
          <w:rFonts w:ascii="Times New Roman" w:eastAsia="Calibri" w:hAnsi="Times New Roman" w:cs="Times New Roman"/>
          <w:iCs/>
          <w:sz w:val="24"/>
          <w:szCs w:val="24"/>
        </w:rPr>
        <w:t>outreach services during the reporting year</w:t>
      </w:r>
      <w:r w:rsidR="00365F6D" w:rsidRPr="00E70DBF">
        <w:rPr>
          <w:rFonts w:ascii="Times New Roman" w:eastAsia="Calibri" w:hAnsi="Times New Roman" w:cs="Times New Roman"/>
          <w:iCs/>
          <w:sz w:val="24"/>
          <w:szCs w:val="24"/>
        </w:rPr>
        <w:t xml:space="preserve"> are given below</w:t>
      </w:r>
      <w:r w:rsidRPr="00E70DB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70DBF" w:rsidRPr="00E70DBF" w:rsidRDefault="00E70DBF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907" w:rsidRDefault="00BF52A8" w:rsidP="00DF3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t>Communication Disorder Screening Programmes</w:t>
      </w:r>
    </w:p>
    <w:p w:rsidR="00DF35A8" w:rsidRPr="00E70DBF" w:rsidRDefault="00DF35A8" w:rsidP="00DF3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F35A8" w:rsidRPr="00E70DBF" w:rsidSect="00756D09">
          <w:footerReference w:type="even" r:id="rId7"/>
          <w:footerReference w:type="default" r:id="rId8"/>
          <w:pgSz w:w="11909" w:h="16834" w:code="9"/>
          <w:pgMar w:top="1440" w:right="1800" w:bottom="1440" w:left="1800" w:header="720" w:footer="720" w:gutter="0"/>
          <w:pgNumType w:start="135"/>
          <w:cols w:space="360"/>
          <w:docGrid w:linePitch="360"/>
        </w:sectPr>
      </w:pPr>
    </w:p>
    <w:p w:rsidR="005B2907" w:rsidRPr="00E70DBF" w:rsidRDefault="00BF52A8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lastRenderedPageBreak/>
        <w:t>The Institute conducted screening programmes for communication disorders in different settings and localities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. The individuals participating in the programme</w:t>
      </w:r>
      <w:r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 were checked for speech, language and hearing abilities and provided with diagnostic and therapeutic services. The screening programmes conducted in different settings are mentioned below.</w:t>
      </w:r>
    </w:p>
    <w:p w:rsidR="000112C1" w:rsidRPr="00E70DBF" w:rsidRDefault="00772684" w:rsidP="00E70DB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2684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023248" cy="2084832"/>
            <wp:effectExtent l="0" t="0" r="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2907" w:rsidRPr="00A3538A" w:rsidRDefault="005B2907" w:rsidP="00E70DBF">
      <w:pPr>
        <w:spacing w:after="0" w:line="360" w:lineRule="auto"/>
        <w:jc w:val="center"/>
        <w:rPr>
          <w:rFonts w:ascii="Times New Roman" w:eastAsia="Calibri" w:hAnsi="Times New Roman" w:cs="Times New Roman"/>
          <w:bCs/>
          <w:noProof/>
          <w:sz w:val="20"/>
          <w:szCs w:val="24"/>
        </w:rPr>
      </w:pPr>
      <w:r w:rsidRPr="00A3538A">
        <w:rPr>
          <w:rFonts w:ascii="Times New Roman" w:eastAsia="Calibri" w:hAnsi="Times New Roman" w:cs="Times New Roman"/>
          <w:bCs/>
          <w:noProof/>
          <w:sz w:val="20"/>
          <w:szCs w:val="24"/>
        </w:rPr>
        <w:t xml:space="preserve">Figure </w:t>
      </w:r>
      <w:r w:rsidR="00FB6C8F" w:rsidRPr="00A3538A">
        <w:rPr>
          <w:rFonts w:ascii="Times New Roman" w:eastAsia="Calibri" w:hAnsi="Times New Roman" w:cs="Times New Roman"/>
          <w:bCs/>
          <w:noProof/>
          <w:sz w:val="20"/>
          <w:szCs w:val="24"/>
        </w:rPr>
        <w:t xml:space="preserve"> </w:t>
      </w:r>
      <w:r w:rsidR="00772684" w:rsidRPr="00A3538A">
        <w:rPr>
          <w:rFonts w:ascii="Times New Roman" w:eastAsia="Calibri" w:hAnsi="Times New Roman" w:cs="Times New Roman"/>
          <w:bCs/>
          <w:noProof/>
          <w:sz w:val="20"/>
          <w:szCs w:val="24"/>
        </w:rPr>
        <w:t>17</w:t>
      </w:r>
      <w:r w:rsidRPr="00A3538A">
        <w:rPr>
          <w:rFonts w:ascii="Times New Roman" w:eastAsia="Calibri" w:hAnsi="Times New Roman" w:cs="Times New Roman"/>
          <w:bCs/>
          <w:noProof/>
          <w:sz w:val="20"/>
          <w:szCs w:val="24"/>
        </w:rPr>
        <w:t xml:space="preserve"> : Screening done in different settings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2A8" w:rsidRPr="00E70DBF" w:rsidRDefault="00BF52A8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t>Newborn/Infant Screening</w:t>
      </w:r>
    </w:p>
    <w:p w:rsidR="005B2907" w:rsidRPr="00E70DBF" w:rsidRDefault="00BF52A8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This programme focuses on screening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neonates and infants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who are at risk for communication disorders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using various tools such as High Risk Register for communication disorders, Behavioral Observation Audiometry, Oto Acoustic Emission Screening and Screening Checklists</w:t>
      </w:r>
      <w:r w:rsidR="00615A77" w:rsidRPr="00E70D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1B95" w:rsidRPr="00E70DBF">
        <w:rPr>
          <w:rFonts w:ascii="Times New Roman" w:eastAsia="Calibri" w:hAnsi="Times New Roman" w:cs="Times New Roman"/>
          <w:sz w:val="24"/>
          <w:szCs w:val="24"/>
        </w:rPr>
        <w:t>During the reporting year, s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creening programme was carried out at </w:t>
      </w:r>
      <w:r w:rsidR="00526A54" w:rsidRPr="00E70DBF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hospitals</w:t>
      </w:r>
      <w:r w:rsidR="00526A54" w:rsidRPr="00E70DBF">
        <w:rPr>
          <w:rFonts w:ascii="Times New Roman" w:eastAsia="Calibri" w:hAnsi="Times New Roman" w:cs="Times New Roman"/>
          <w:sz w:val="24"/>
          <w:szCs w:val="24"/>
        </w:rPr>
        <w:t xml:space="preserve"> and three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immunization centres in Mysore,</w:t>
      </w:r>
      <w:r w:rsidR="00526A54" w:rsidRPr="00E70DBF">
        <w:rPr>
          <w:rFonts w:ascii="Times New Roman" w:eastAsia="Calibri" w:hAnsi="Times New Roman" w:cs="Times New Roman"/>
          <w:sz w:val="24"/>
          <w:szCs w:val="24"/>
        </w:rPr>
        <w:t xml:space="preserve"> six O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utreach </w:t>
      </w:r>
      <w:r w:rsidR="00526A54" w:rsidRPr="00E70DBF">
        <w:rPr>
          <w:rFonts w:ascii="Times New Roman" w:eastAsia="Calibri" w:hAnsi="Times New Roman" w:cs="Times New Roman"/>
          <w:sz w:val="24"/>
          <w:szCs w:val="24"/>
        </w:rPr>
        <w:t>Service C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entres</w:t>
      </w:r>
      <w:r w:rsidR="00E70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A54" w:rsidRPr="00E70DBF">
        <w:rPr>
          <w:rFonts w:ascii="Times New Roman" w:eastAsia="Calibri" w:hAnsi="Times New Roman" w:cs="Times New Roman"/>
          <w:sz w:val="24"/>
          <w:szCs w:val="24"/>
        </w:rPr>
        <w:t xml:space="preserve">of the Institute functioning in different parts of Karnataka and three </w:t>
      </w:r>
      <w:r w:rsidR="00526A54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Newborn Screening Centres functioning in hospitals </w:t>
      </w:r>
      <w:r w:rsidR="00566BE3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attached with the </w:t>
      </w:r>
      <w:r w:rsidR="00615A77" w:rsidRPr="00E70DBF">
        <w:rPr>
          <w:rFonts w:ascii="Times New Roman" w:eastAsia="Calibri" w:hAnsi="Times New Roman" w:cs="Times New Roman"/>
          <w:sz w:val="24"/>
          <w:szCs w:val="24"/>
        </w:rPr>
        <w:t xml:space="preserve">AIISH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DHLS centre</w:t>
      </w:r>
      <w:r w:rsidR="00615A77"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="008477BB" w:rsidRPr="008477BB">
        <w:rPr>
          <w:rFonts w:ascii="Times New Roman" w:eastAsia="Calibri" w:hAnsi="Times New Roman" w:cs="Times New Roman"/>
          <w:bCs/>
          <w:sz w:val="24"/>
          <w:szCs w:val="24"/>
        </w:rPr>
        <w:t>Sriram Chandra Bhanj Medical College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t xml:space="preserve"> &amp; Hospital, 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 xml:space="preserve">Cuttuck, Odisha, </w:t>
      </w:r>
      <w:r w:rsidR="008477BB">
        <w:rPr>
          <w:rFonts w:ascii="Times New Roman" w:eastAsia="Calibri" w:hAnsi="Times New Roman" w:cs="Times New Roman"/>
          <w:sz w:val="24"/>
          <w:szCs w:val="24"/>
        </w:rPr>
        <w:t xml:space="preserve">Regional Institute of Medical Sciences, 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>Imphal, Manip</w:t>
      </w:r>
      <w:r w:rsidR="008477BB">
        <w:rPr>
          <w:rFonts w:ascii="Times New Roman" w:eastAsia="Calibri" w:hAnsi="Times New Roman" w:cs="Times New Roman"/>
          <w:sz w:val="24"/>
          <w:szCs w:val="24"/>
        </w:rPr>
        <w:t>ur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lastRenderedPageBreak/>
        <w:t>J</w:t>
      </w:r>
      <w:r w:rsidR="008477BB">
        <w:rPr>
          <w:rFonts w:ascii="Times New Roman" w:eastAsia="Calibri" w:hAnsi="Times New Roman" w:cs="Times New Roman"/>
          <w:sz w:val="24"/>
          <w:szCs w:val="24"/>
        </w:rPr>
        <w:t xml:space="preserve">awaharlal 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t>N</w:t>
      </w:r>
      <w:r w:rsidR="008477BB">
        <w:rPr>
          <w:rFonts w:ascii="Times New Roman" w:eastAsia="Calibri" w:hAnsi="Times New Roman" w:cs="Times New Roman"/>
          <w:sz w:val="24"/>
          <w:szCs w:val="24"/>
        </w:rPr>
        <w:t xml:space="preserve">ehru 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t>M</w:t>
      </w:r>
      <w:r w:rsidR="008477BB">
        <w:rPr>
          <w:rFonts w:ascii="Times New Roman" w:eastAsia="Calibri" w:hAnsi="Times New Roman" w:cs="Times New Roman"/>
          <w:sz w:val="24"/>
          <w:szCs w:val="24"/>
        </w:rPr>
        <w:t xml:space="preserve">edical 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t>C</w:t>
      </w:r>
      <w:r w:rsidR="008477BB">
        <w:rPr>
          <w:rFonts w:ascii="Times New Roman" w:eastAsia="Calibri" w:hAnsi="Times New Roman" w:cs="Times New Roman"/>
          <w:sz w:val="24"/>
          <w:szCs w:val="24"/>
        </w:rPr>
        <w:t>ollege,</w:t>
      </w:r>
      <w:r w:rsidR="008477BB" w:rsidRPr="0084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>Ajmer, Rajasthan</w:t>
      </w:r>
      <w:r w:rsidR="008477BB">
        <w:rPr>
          <w:rFonts w:ascii="Times New Roman" w:eastAsia="Calibri" w:hAnsi="Times New Roman" w:cs="Times New Roman"/>
          <w:sz w:val="24"/>
          <w:szCs w:val="24"/>
        </w:rPr>
        <w:t xml:space="preserve"> and a total of 26334 new borns were scree</w:t>
      </w:r>
      <w:r w:rsidR="008401B0">
        <w:rPr>
          <w:rFonts w:ascii="Times New Roman" w:eastAsia="Calibri" w:hAnsi="Times New Roman" w:cs="Times New Roman"/>
          <w:sz w:val="24"/>
          <w:szCs w:val="24"/>
        </w:rPr>
        <w:t>ned. Of these, 5318 new borns (20.19</w:t>
      </w:r>
      <w:r w:rsidR="008477BB">
        <w:rPr>
          <w:rFonts w:ascii="Times New Roman" w:eastAsia="Calibri" w:hAnsi="Times New Roman" w:cs="Times New Roman"/>
          <w:sz w:val="24"/>
          <w:szCs w:val="24"/>
        </w:rPr>
        <w:t>%) were at risk for communication disorders</w:t>
      </w:r>
      <w:r w:rsidR="00566BE3" w:rsidRPr="00E70DBF">
        <w:rPr>
          <w:rFonts w:ascii="Times New Roman" w:eastAsia="Calibri" w:hAnsi="Times New Roman" w:cs="Times New Roman"/>
          <w:sz w:val="24"/>
          <w:szCs w:val="24"/>
        </w:rPr>
        <w:t>. The details are given in table</w:t>
      </w:r>
      <w:r w:rsidR="00A3538A">
        <w:rPr>
          <w:rFonts w:ascii="Times New Roman" w:eastAsia="Calibri" w:hAnsi="Times New Roman" w:cs="Times New Roman"/>
          <w:sz w:val="24"/>
          <w:szCs w:val="24"/>
        </w:rPr>
        <w:t xml:space="preserve"> 28.</w:t>
      </w:r>
    </w:p>
    <w:p w:rsidR="00686E8C" w:rsidRPr="00E70DBF" w:rsidRDefault="00686E8C" w:rsidP="00DF35A8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0DBF">
        <w:rPr>
          <w:rFonts w:ascii="Times New Roman" w:hAnsi="Times New Roman" w:cs="Times New Roman"/>
          <w:iCs/>
          <w:sz w:val="24"/>
          <w:szCs w:val="24"/>
        </w:rPr>
        <w:t xml:space="preserve">Table </w:t>
      </w:r>
      <w:r w:rsidR="00A3538A">
        <w:rPr>
          <w:rFonts w:ascii="Times New Roman" w:hAnsi="Times New Roman" w:cs="Times New Roman"/>
          <w:iCs/>
          <w:sz w:val="24"/>
          <w:szCs w:val="24"/>
        </w:rPr>
        <w:t>28</w:t>
      </w:r>
      <w:r w:rsidRPr="00E70DBF">
        <w:rPr>
          <w:rFonts w:ascii="Times New Roman" w:hAnsi="Times New Roman" w:cs="Times New Roman"/>
          <w:iCs/>
          <w:sz w:val="24"/>
          <w:szCs w:val="24"/>
        </w:rPr>
        <w:t>: Newborn/Infant Screening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3517"/>
        <w:gridCol w:w="907"/>
        <w:gridCol w:w="996"/>
        <w:gridCol w:w="909"/>
        <w:gridCol w:w="1562"/>
      </w:tblGrid>
      <w:tr w:rsidR="00686E8C" w:rsidRPr="00E70DBF" w:rsidTr="00DF35A8">
        <w:trPr>
          <w:trHeight w:val="45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Hospitals/Immunization Centers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No. of children screened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No. children at risk for disorders</w:t>
            </w:r>
          </w:p>
        </w:tc>
      </w:tr>
      <w:tr w:rsidR="00686E8C" w:rsidRPr="00E70DBF" w:rsidTr="00DF35A8">
        <w:trPr>
          <w:trHeight w:val="269"/>
        </w:trPr>
        <w:tc>
          <w:tcPr>
            <w:tcW w:w="372" w:type="pct"/>
            <w:vMerge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63" w:type="pct"/>
            <w:vMerge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584" w:type="pct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6E8C" w:rsidRPr="00E70DBF" w:rsidTr="00DF35A8">
        <w:trPr>
          <w:trHeight w:val="260"/>
        </w:trPr>
        <w:tc>
          <w:tcPr>
            <w:tcW w:w="5000" w:type="pct"/>
            <w:gridSpan w:val="6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Hospitals in Mys</w:t>
            </w:r>
            <w:r w:rsidR="00F22BA5"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</w:p>
        </w:tc>
      </w:tr>
      <w:tr w:rsidR="00686E8C" w:rsidRPr="00E70DBF" w:rsidTr="00E70DBF">
        <w:trPr>
          <w:trHeight w:val="287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Apollo BGS Hospital (BAH),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686E8C" w:rsidRPr="00E70DBF" w:rsidTr="00E70DBF">
        <w:trPr>
          <w:trHeight w:val="359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Basappa Memorial Hospital (BMH)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Combined Hospital (CH)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Harsha Hospital (HH)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Kamakshi Hospital (KH)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686E8C" w:rsidRPr="00E70DBF" w:rsidTr="00E45410">
        <w:trPr>
          <w:trHeight w:val="1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KR Hospital (KRH)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9277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686E8C" w:rsidRPr="00E70DBF" w:rsidTr="00E45410">
        <w:trPr>
          <w:trHeight w:val="557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Makkalakoota Immunization Center (MIC)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Mission Hospital (MH)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Immunization Center at Mission Hospital (ICMH)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N.P.C Hospital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S.M.T.D.H Hospital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Railway Hospital (RH)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Employees State Insurance (ESI) Hospital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Ashwini Nursing Home (ANH)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Shree Devi Nursing Home (SNH)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GopalaGowdaShanthaveri Memorial Hospital (GGSMH)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Family Planning Association Immunization (FPAI) center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686E8C" w:rsidRPr="00E70DBF" w:rsidTr="00E70DBF">
        <w:trPr>
          <w:trHeight w:val="288"/>
        </w:trPr>
        <w:tc>
          <w:tcPr>
            <w:tcW w:w="372" w:type="pct"/>
          </w:tcPr>
          <w:p w:rsidR="00686E8C" w:rsidRPr="00DF35A8" w:rsidRDefault="00F22BA5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Mahadeshwara Nursing Home (MNH)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86E8C" w:rsidRPr="00E70DBF" w:rsidTr="00E70DBF">
        <w:trPr>
          <w:trHeight w:val="269"/>
        </w:trPr>
        <w:tc>
          <w:tcPr>
            <w:tcW w:w="2435" w:type="pct"/>
            <w:gridSpan w:val="2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6162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12921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2708</w:t>
            </w:r>
          </w:p>
        </w:tc>
      </w:tr>
      <w:tr w:rsidR="00686E8C" w:rsidRPr="00E70DBF" w:rsidTr="00E70DBF">
        <w:tc>
          <w:tcPr>
            <w:tcW w:w="5000" w:type="pct"/>
            <w:gridSpan w:val="6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Outreach Service Centers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Sub-divisional hospital, K R Nagar 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Sub-divisional hospital, T Narsipura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Sub-divisional Hospital, SagaraTaluk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Primary Health Centre (PHC), Hullahalli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Community Health Centre (CHC), Santhemarahalli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Primary Health Centre (PHC),  Akkihebbalu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86E8C" w:rsidRPr="00E70DBF" w:rsidTr="00E70DBF">
        <w:tc>
          <w:tcPr>
            <w:tcW w:w="2435" w:type="pct"/>
            <w:gridSpan w:val="2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32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84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33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916" w:type="pct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231</w:t>
            </w:r>
          </w:p>
        </w:tc>
      </w:tr>
    </w:tbl>
    <w:p w:rsidR="00756D09" w:rsidRDefault="00756D0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3517"/>
        <w:gridCol w:w="907"/>
        <w:gridCol w:w="996"/>
        <w:gridCol w:w="909"/>
        <w:gridCol w:w="1562"/>
      </w:tblGrid>
      <w:tr w:rsidR="00686E8C" w:rsidRPr="00E70DBF" w:rsidTr="00E70DBF">
        <w:tc>
          <w:tcPr>
            <w:tcW w:w="5000" w:type="pct"/>
            <w:gridSpan w:val="6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Newborn screening centres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3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Sri Ramachandra</w:t>
            </w:r>
            <w:r w:rsidR="008401B0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 xml:space="preserve"> </w:t>
            </w: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Bhanj Medical College and Hospital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(SCB MCH), Cuttack</w:t>
            </w:r>
          </w:p>
        </w:tc>
        <w:tc>
          <w:tcPr>
            <w:tcW w:w="532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584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533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916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Regional Institute of Medical Sciences (RIMS), Imphal</w:t>
            </w:r>
          </w:p>
        </w:tc>
        <w:tc>
          <w:tcPr>
            <w:tcW w:w="532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584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533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916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686E8C" w:rsidRPr="00E70DBF" w:rsidTr="00E70DBF">
        <w:tc>
          <w:tcPr>
            <w:tcW w:w="372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63" w:type="pct"/>
          </w:tcPr>
          <w:p w:rsidR="00686E8C" w:rsidRPr="00DF35A8" w:rsidRDefault="00686E8C" w:rsidP="00E45410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Janana Hospital &amp; JLNMCH, Ajmer</w:t>
            </w:r>
          </w:p>
        </w:tc>
        <w:tc>
          <w:tcPr>
            <w:tcW w:w="532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584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533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916" w:type="pct"/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</w:tr>
      <w:tr w:rsidR="00686E8C" w:rsidRPr="00E70DBF" w:rsidTr="00E70DBF">
        <w:tc>
          <w:tcPr>
            <w:tcW w:w="372" w:type="pct"/>
            <w:tcBorders>
              <w:bottom w:val="single" w:sz="4" w:space="0" w:color="auto"/>
            </w:tcBorders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pct"/>
            <w:tcBorders>
              <w:bottom w:val="single" w:sz="4" w:space="0" w:color="auto"/>
            </w:tcBorders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6964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11819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bottom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1016</w:t>
            </w:r>
          </w:p>
        </w:tc>
      </w:tr>
      <w:tr w:rsidR="00686E8C" w:rsidRPr="00E70DBF" w:rsidTr="00E70DBF">
        <w:tc>
          <w:tcPr>
            <w:tcW w:w="2435" w:type="pct"/>
            <w:gridSpan w:val="2"/>
            <w:shd w:val="pct10" w:color="auto" w:fill="auto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532" w:type="pct"/>
            <w:shd w:val="pct10" w:color="auto" w:fill="auto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14,554</w:t>
            </w:r>
          </w:p>
        </w:tc>
        <w:tc>
          <w:tcPr>
            <w:tcW w:w="584" w:type="pct"/>
            <w:shd w:val="pct10" w:color="auto" w:fill="auto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11,780</w:t>
            </w:r>
          </w:p>
        </w:tc>
        <w:tc>
          <w:tcPr>
            <w:tcW w:w="533" w:type="pct"/>
            <w:shd w:val="pct10" w:color="auto" w:fill="auto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26,334</w:t>
            </w:r>
          </w:p>
        </w:tc>
        <w:tc>
          <w:tcPr>
            <w:tcW w:w="916" w:type="pct"/>
            <w:shd w:val="pct10" w:color="auto" w:fill="auto"/>
            <w:vAlign w:val="center"/>
          </w:tcPr>
          <w:p w:rsidR="00686E8C" w:rsidRPr="00DF35A8" w:rsidRDefault="00686E8C" w:rsidP="00E45410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5,318</w:t>
            </w:r>
          </w:p>
        </w:tc>
      </w:tr>
    </w:tbl>
    <w:p w:rsidR="00686E8C" w:rsidRPr="00E70DBF" w:rsidRDefault="00686E8C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367" w:rsidRPr="00E70DBF" w:rsidRDefault="008401B0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these, </w:t>
      </w:r>
      <w:r w:rsidR="00F22BA5" w:rsidRPr="00E70DBF">
        <w:rPr>
          <w:rFonts w:ascii="Times New Roman" w:eastAsia="Calibri" w:hAnsi="Times New Roman" w:cs="Times New Roman"/>
          <w:sz w:val="24"/>
          <w:szCs w:val="24"/>
        </w:rPr>
        <w:t xml:space="preserve">380 </w:t>
      </w:r>
      <w:r w:rsidR="00660367" w:rsidRPr="00E70DBF">
        <w:rPr>
          <w:rFonts w:ascii="Times New Roman" w:eastAsia="Calibri" w:hAnsi="Times New Roman" w:cs="Times New Roman"/>
          <w:sz w:val="24"/>
          <w:szCs w:val="24"/>
        </w:rPr>
        <w:t xml:space="preserve">children underwent follow-up evaluation in all the centres. </w:t>
      </w:r>
      <w:r w:rsidR="00F22BA5" w:rsidRPr="00E70DBF">
        <w:rPr>
          <w:rFonts w:ascii="Times New Roman" w:eastAsia="Calibri" w:hAnsi="Times New Roman" w:cs="Times New Roman"/>
          <w:sz w:val="24"/>
          <w:szCs w:val="24"/>
        </w:rPr>
        <w:t xml:space="preserve">They were administered </w:t>
      </w:r>
      <w:r w:rsidR="00257FB2" w:rsidRPr="00E70DB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22BA5" w:rsidRPr="00E70DBF">
        <w:rPr>
          <w:rFonts w:ascii="Times New Roman" w:eastAsia="Calibri" w:hAnsi="Times New Roman" w:cs="Times New Roman"/>
          <w:sz w:val="24"/>
          <w:szCs w:val="24"/>
        </w:rPr>
        <w:t>complete test battery</w:t>
      </w:r>
      <w:r w:rsidR="00257FB2" w:rsidRPr="00E70D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367" w:rsidRPr="00E70DBF" w:rsidRDefault="00660367" w:rsidP="00E70DBF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MON_1492859430"/>
      <w:bookmarkEnd w:id="0"/>
      <w:r w:rsidRPr="00E70DBF">
        <w:rPr>
          <w:rFonts w:ascii="Times New Roman" w:hAnsi="Times New Roman" w:cs="Times New Roman"/>
          <w:b/>
          <w:sz w:val="24"/>
          <w:szCs w:val="24"/>
        </w:rPr>
        <w:t>Industrial Screening</w:t>
      </w:r>
    </w:p>
    <w:p w:rsidR="0079269F" w:rsidRDefault="0079269F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Hearing evaluation of industrial workers, were carried out for the employees working in Karnataka Silk Industries Company (KSIC), Mysore. </w:t>
      </w:r>
      <w:r w:rsidR="00151EE6" w:rsidRPr="00E70DBF">
        <w:rPr>
          <w:rFonts w:ascii="Times New Roman" w:eastAsia="Calibri" w:hAnsi="Times New Roman" w:cs="Times New Roman"/>
          <w:sz w:val="24"/>
          <w:szCs w:val="24"/>
        </w:rPr>
        <w:t xml:space="preserve">One forty three ears of the </w:t>
      </w:r>
      <w:r w:rsidRPr="00E70DBF">
        <w:rPr>
          <w:rFonts w:ascii="Times New Roman" w:eastAsia="Calibri" w:hAnsi="Times New Roman" w:cs="Times New Roman"/>
          <w:sz w:val="24"/>
          <w:szCs w:val="24"/>
        </w:rPr>
        <w:t>117 employees screened</w:t>
      </w:r>
      <w:r w:rsidR="00151EE6" w:rsidRPr="00E70DBF">
        <w:rPr>
          <w:rFonts w:ascii="Times New Roman" w:eastAsia="Calibri" w:hAnsi="Times New Roman" w:cs="Times New Roman"/>
          <w:sz w:val="24"/>
          <w:szCs w:val="24"/>
        </w:rPr>
        <w:t xml:space="preserve"> were found to have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hearing impairment on administration of complete audiological test battery. The persons with hearing impairment were given rehabilitation services. </w:t>
      </w:r>
    </w:p>
    <w:p w:rsidR="00DF35A8" w:rsidRPr="00E70DBF" w:rsidRDefault="00DF35A8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044" w:rsidRDefault="0079269F" w:rsidP="00E70DBF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F">
        <w:rPr>
          <w:rFonts w:ascii="Times New Roman" w:hAnsi="Times New Roman" w:cs="Times New Roman"/>
          <w:sz w:val="24"/>
          <w:szCs w:val="24"/>
        </w:rPr>
        <w:t xml:space="preserve">In addition to the services provided at their </w:t>
      </w:r>
      <w:r w:rsidR="008115DA" w:rsidRPr="00E70DBF">
        <w:rPr>
          <w:rFonts w:ascii="Times New Roman" w:hAnsi="Times New Roman" w:cs="Times New Roman"/>
          <w:sz w:val="24"/>
          <w:szCs w:val="24"/>
        </w:rPr>
        <w:t>work settings</w:t>
      </w:r>
      <w:r w:rsidRPr="00E70DBF">
        <w:rPr>
          <w:rFonts w:ascii="Times New Roman" w:hAnsi="Times New Roman" w:cs="Times New Roman"/>
          <w:sz w:val="24"/>
          <w:szCs w:val="24"/>
        </w:rPr>
        <w:t>, the</w:t>
      </w:r>
      <w:r w:rsidR="008401B0">
        <w:rPr>
          <w:rFonts w:ascii="Times New Roman" w:hAnsi="Times New Roman" w:cs="Times New Roman"/>
          <w:sz w:val="24"/>
          <w:szCs w:val="24"/>
        </w:rPr>
        <w:t xml:space="preserve">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>industri</w:t>
      </w:r>
      <w:r w:rsidRPr="00E70DBF">
        <w:rPr>
          <w:rFonts w:ascii="Times New Roman" w:eastAsia="Calibri" w:hAnsi="Times New Roman" w:cs="Times New Roman"/>
          <w:sz w:val="24"/>
          <w:szCs w:val="24"/>
        </w:rPr>
        <w:t>al work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>e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rs were </w:t>
      </w:r>
      <w:r w:rsidR="00DC4C8E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>encouraged</w:t>
      </w:r>
      <w:r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to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 xml:space="preserve">undergone hearing evaluation at </w:t>
      </w:r>
      <w:r w:rsidRPr="00E70DBF">
        <w:rPr>
          <w:rFonts w:ascii="Times New Roman" w:eastAsia="Calibri" w:hAnsi="Times New Roman" w:cs="Times New Roman"/>
          <w:sz w:val="24"/>
          <w:szCs w:val="24"/>
        </w:rPr>
        <w:t>the Institute clinical settings</w:t>
      </w:r>
      <w:r w:rsidR="00151EE6" w:rsidRPr="00E70DBF">
        <w:rPr>
          <w:rFonts w:ascii="Times New Roman" w:eastAsia="Calibri" w:hAnsi="Times New Roman" w:cs="Times New Roman"/>
          <w:sz w:val="24"/>
          <w:szCs w:val="24"/>
        </w:rPr>
        <w:t xml:space="preserve">. Totally,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 xml:space="preserve">245 </w:t>
      </w:r>
      <w:r w:rsidR="00DC4C8E" w:rsidRPr="00E70DBF">
        <w:rPr>
          <w:rFonts w:ascii="Times New Roman" w:eastAsia="Calibri" w:hAnsi="Times New Roman" w:cs="Times New Roman"/>
          <w:sz w:val="24"/>
          <w:szCs w:val="24"/>
        </w:rPr>
        <w:t>employees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working with KSIC, Rane Madras and Bhaba Atomic Research Centre avail</w:t>
      </w:r>
      <w:r w:rsidR="00151EE6" w:rsidRPr="00E70DBF">
        <w:rPr>
          <w:rFonts w:ascii="Times New Roman" w:eastAsia="Calibri" w:hAnsi="Times New Roman" w:cs="Times New Roman"/>
          <w:sz w:val="24"/>
          <w:szCs w:val="24"/>
        </w:rPr>
        <w:t xml:space="preserve">ed clinical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service at the Institute during the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>report year</w:t>
      </w:r>
      <w:r w:rsidR="00662187" w:rsidRPr="00E70DB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 xml:space="preserve">282 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(57.5%) </w:t>
      </w:r>
      <w:r w:rsidR="00662187" w:rsidRPr="00E70DBF">
        <w:rPr>
          <w:rFonts w:ascii="Times New Roman" w:eastAsia="Calibri" w:hAnsi="Times New Roman" w:cs="Times New Roman"/>
          <w:sz w:val="24"/>
          <w:szCs w:val="24"/>
        </w:rPr>
        <w:t xml:space="preserve">ears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>had hearing impairment</w:t>
      </w:r>
      <w:r w:rsidR="00662187" w:rsidRPr="00E70D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66044" w:rsidRPr="00E70DBF">
        <w:rPr>
          <w:rFonts w:ascii="Times New Roman" w:hAnsi="Times New Roman" w:cs="Times New Roman"/>
          <w:sz w:val="24"/>
          <w:szCs w:val="24"/>
        </w:rPr>
        <w:t xml:space="preserve">All the employees were </w:t>
      </w:r>
      <w:r w:rsidR="00166044" w:rsidRPr="00E70DBF">
        <w:rPr>
          <w:rFonts w:ascii="Times New Roman" w:eastAsia="Calibri" w:hAnsi="Times New Roman" w:cs="Times New Roman"/>
          <w:sz w:val="24"/>
          <w:szCs w:val="24"/>
        </w:rPr>
        <w:t>counseled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979" w:rsidRPr="00E70DBF">
        <w:rPr>
          <w:rFonts w:ascii="Times New Roman" w:hAnsi="Times New Roman" w:cs="Times New Roman"/>
          <w:sz w:val="24"/>
          <w:szCs w:val="24"/>
        </w:rPr>
        <w:t xml:space="preserve">on </w:t>
      </w:r>
      <w:r w:rsidR="00166044" w:rsidRPr="00E70DBF">
        <w:rPr>
          <w:rFonts w:ascii="Times New Roman" w:hAnsi="Times New Roman" w:cs="Times New Roman"/>
          <w:sz w:val="24"/>
          <w:szCs w:val="24"/>
        </w:rPr>
        <w:t xml:space="preserve">the importance of hearing protection devices and </w:t>
      </w:r>
      <w:r w:rsidR="00D67979" w:rsidRPr="00E70DBF">
        <w:rPr>
          <w:rFonts w:ascii="Times New Roman" w:hAnsi="Times New Roman" w:cs="Times New Roman"/>
          <w:sz w:val="24"/>
          <w:szCs w:val="24"/>
        </w:rPr>
        <w:t xml:space="preserve">the </w:t>
      </w:r>
      <w:r w:rsidR="00166044" w:rsidRPr="00E70DBF">
        <w:rPr>
          <w:rFonts w:ascii="Times New Roman" w:hAnsi="Times New Roman" w:cs="Times New Roman"/>
          <w:sz w:val="24"/>
          <w:szCs w:val="24"/>
        </w:rPr>
        <w:t xml:space="preserve">need </w:t>
      </w:r>
      <w:r w:rsidR="00D67979" w:rsidRPr="00E70DBF">
        <w:rPr>
          <w:rFonts w:ascii="Times New Roman" w:hAnsi="Times New Roman" w:cs="Times New Roman"/>
          <w:sz w:val="24"/>
          <w:szCs w:val="24"/>
        </w:rPr>
        <w:t xml:space="preserve">for using it </w:t>
      </w:r>
      <w:r w:rsidR="00166044" w:rsidRPr="00E70DBF">
        <w:rPr>
          <w:rFonts w:ascii="Times New Roman" w:hAnsi="Times New Roman" w:cs="Times New Roman"/>
          <w:sz w:val="24"/>
          <w:szCs w:val="24"/>
        </w:rPr>
        <w:t xml:space="preserve">regularly in noisy conditions to protect their hearing ability. </w:t>
      </w:r>
    </w:p>
    <w:p w:rsidR="00360F03" w:rsidRPr="00E70DBF" w:rsidRDefault="00360F03" w:rsidP="00DF35A8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DBF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125568" cy="2154803"/>
            <wp:effectExtent l="19050" t="0" r="0" b="0"/>
            <wp:docPr id="1" name="Picture 4" descr="I:\AnnualReport-2014-15\Photos\POCD Photo\Industrail screenin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AnnualReport-2014-15\Photos\POCD Photo\Industrail screening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68" cy="21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03" w:rsidRPr="00E45410" w:rsidRDefault="00360F03" w:rsidP="00E70DBF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45410">
        <w:rPr>
          <w:rFonts w:ascii="Times New Roman" w:hAnsi="Times New Roman" w:cs="Times New Roman"/>
          <w:sz w:val="20"/>
          <w:szCs w:val="24"/>
        </w:rPr>
        <w:t>Industrial screening</w:t>
      </w:r>
    </w:p>
    <w:p w:rsidR="004C5020" w:rsidRPr="00E70DBF" w:rsidRDefault="004C5020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School Screening 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Nursery and primary school students of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various </w:t>
      </w:r>
      <w:r w:rsidRPr="00E70DBF">
        <w:rPr>
          <w:rFonts w:ascii="Times New Roman" w:eastAsia="Calibri" w:hAnsi="Times New Roman" w:cs="Times New Roman"/>
          <w:sz w:val="24"/>
          <w:szCs w:val="24"/>
        </w:rPr>
        <w:t>School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="004C5020" w:rsidRPr="00E70DBF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 Mysore and Tumkur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020" w:rsidRPr="00E70DBF">
        <w:rPr>
          <w:rFonts w:ascii="Times New Roman" w:eastAsia="Calibri" w:hAnsi="Times New Roman" w:cs="Times New Roman"/>
          <w:sz w:val="24"/>
          <w:szCs w:val="24"/>
        </w:rPr>
        <w:t xml:space="preserve">districts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were screened for communication disorder as a part of the school screening program during the reporting year. Totally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5247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students were screened and 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among them 1052 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(20.04%) 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were identified with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ear related disorders, 67 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(1.27%) 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 hearing loss and 563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 (10.72%)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>speech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>-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>language disorders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. They </w:t>
      </w:r>
      <w:r w:rsidR="009649F4" w:rsidRPr="00E70DBF">
        <w:rPr>
          <w:rFonts w:ascii="Times New Roman" w:eastAsia="Calibri" w:hAnsi="Times New Roman" w:cs="Times New Roman"/>
          <w:sz w:val="24"/>
          <w:szCs w:val="24"/>
        </w:rPr>
        <w:t xml:space="preserve">were </w:t>
      </w:r>
      <w:r w:rsidRPr="00E70DBF">
        <w:rPr>
          <w:rFonts w:ascii="Times New Roman" w:eastAsia="Calibri" w:hAnsi="Times New Roman" w:cs="Times New Roman"/>
          <w:sz w:val="24"/>
          <w:szCs w:val="24"/>
        </w:rPr>
        <w:t>recommended for follow-up at the Institute.</w:t>
      </w:r>
      <w:r w:rsidR="00D16E61" w:rsidRPr="00E70D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BB5" w:rsidRPr="00E70DBF" w:rsidRDefault="00801D0F" w:rsidP="00E70DB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DBF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749040" cy="2490539"/>
            <wp:effectExtent l="19050" t="0" r="3810" b="0"/>
            <wp:docPr id="7" name="Picture 5" descr="I:\AnnualReport-2014-15\Photos\POCD Photo\School screening-Speech language evalu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nnualReport-2014-15\Photos\POCD Photo\School screening-Speech language evaluatio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49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07" w:rsidRPr="00E45410" w:rsidRDefault="005B2907" w:rsidP="00E70DBF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45410">
        <w:rPr>
          <w:rFonts w:ascii="Times New Roman" w:eastAsia="Times New Roman" w:hAnsi="Times New Roman" w:cs="Times New Roman"/>
          <w:sz w:val="20"/>
          <w:szCs w:val="24"/>
        </w:rPr>
        <w:t>Screening of schoolchildren for communication disorders</w:t>
      </w:r>
    </w:p>
    <w:p w:rsidR="00801D0F" w:rsidRPr="00E70DBF" w:rsidRDefault="00801D0F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907" w:rsidRPr="00E70DBF" w:rsidRDefault="00FA37A4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t xml:space="preserve">Elderly Screening </w:t>
      </w:r>
    </w:p>
    <w:p w:rsidR="00760BB5" w:rsidRPr="00E70DBF" w:rsidRDefault="005B2907" w:rsidP="008401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>Speech, language and hearing evaluation</w:t>
      </w:r>
      <w:r w:rsidR="00A261CC"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were carried out for elderly citizens residing in different old age homes in Mysore. </w:t>
      </w:r>
      <w:r w:rsidR="00760BB5" w:rsidRPr="00E70DBF">
        <w:rPr>
          <w:rFonts w:ascii="Times New Roman" w:eastAsia="Calibri" w:hAnsi="Times New Roman" w:cs="Times New Roman"/>
          <w:sz w:val="24"/>
          <w:szCs w:val="24"/>
        </w:rPr>
        <w:t>One hundred and seventy persons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underwent evaluation</w:t>
      </w:r>
      <w:r w:rsidR="00A261CC"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="005471CA" w:rsidRPr="00E70DBF">
        <w:rPr>
          <w:rFonts w:ascii="Times New Roman" w:eastAsia="Calibri" w:hAnsi="Times New Roman" w:cs="Times New Roman"/>
          <w:sz w:val="24"/>
          <w:szCs w:val="24"/>
        </w:rPr>
        <w:t>.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Of these 73 (42.94%) had hearing problems, 4 (2.35%)speech problems, and 24(14.11%) multiple disorders. </w:t>
      </w:r>
    </w:p>
    <w:p w:rsidR="0034238A" w:rsidRPr="00E70DBF" w:rsidRDefault="0034238A" w:rsidP="00E70DB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DBF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3049428" cy="2274010"/>
            <wp:effectExtent l="19050" t="0" r="0" b="0"/>
            <wp:docPr id="9" name="Picture 7" descr="I:\AnnualReport-2014-15\Photos\POCD Photo\Eldely citizens-Speech &amp; languge 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AnnualReport-2014-15\Photos\POCD Photo\Eldely citizens-Speech &amp; languge evalu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18" cy="227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CA" w:rsidRPr="00E45410" w:rsidRDefault="005471CA" w:rsidP="00E70DBF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45410">
        <w:rPr>
          <w:rFonts w:ascii="Times New Roman" w:hAnsi="Times New Roman" w:cs="Times New Roman"/>
          <w:sz w:val="20"/>
          <w:szCs w:val="24"/>
        </w:rPr>
        <w:t xml:space="preserve">Elderly </w:t>
      </w:r>
      <w:r w:rsidR="007A379A" w:rsidRPr="00E45410">
        <w:rPr>
          <w:rFonts w:ascii="Times New Roman" w:hAnsi="Times New Roman" w:cs="Times New Roman"/>
          <w:sz w:val="20"/>
          <w:szCs w:val="24"/>
        </w:rPr>
        <w:t>s</w:t>
      </w:r>
      <w:r w:rsidRPr="00E45410">
        <w:rPr>
          <w:rFonts w:ascii="Times New Roman" w:hAnsi="Times New Roman" w:cs="Times New Roman"/>
          <w:sz w:val="20"/>
          <w:szCs w:val="24"/>
        </w:rPr>
        <w:t>creening</w:t>
      </w:r>
    </w:p>
    <w:p w:rsidR="00760BB5" w:rsidRPr="00E70DBF" w:rsidRDefault="005471CA" w:rsidP="00E70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Camp based Screening </w:t>
      </w:r>
    </w:p>
    <w:p w:rsidR="00E45410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>The Institute organized nine</w:t>
      </w:r>
      <w:r w:rsidR="00840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camps in various localities </w:t>
      </w:r>
      <w:r w:rsidR="005471CA" w:rsidRPr="00E70DBF">
        <w:rPr>
          <w:rFonts w:ascii="Times New Roman" w:eastAsia="Calibri" w:hAnsi="Times New Roman" w:cs="Times New Roman"/>
          <w:sz w:val="24"/>
          <w:szCs w:val="24"/>
        </w:rPr>
        <w:t xml:space="preserve">across </w:t>
      </w:r>
      <w:r w:rsidR="00C909C2" w:rsidRPr="00E70DBF">
        <w:rPr>
          <w:rFonts w:ascii="Times New Roman" w:eastAsia="Calibri" w:hAnsi="Times New Roman" w:cs="Times New Roman"/>
          <w:sz w:val="24"/>
          <w:szCs w:val="24"/>
        </w:rPr>
        <w:t xml:space="preserve">Karnataka, and Kerala and Gujarat. </w:t>
      </w:r>
      <w:r w:rsidR="00544D2D" w:rsidRPr="00E70DBF">
        <w:rPr>
          <w:rFonts w:ascii="Times New Roman" w:eastAsia="Calibri" w:hAnsi="Times New Roman" w:cs="Times New Roman"/>
          <w:sz w:val="24"/>
          <w:szCs w:val="24"/>
        </w:rPr>
        <w:t>T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he expert speech and hearing and allied health professionals </w:t>
      </w:r>
      <w:r w:rsidR="007A379A" w:rsidRPr="00E70DBF">
        <w:rPr>
          <w:rFonts w:ascii="Times New Roman" w:eastAsia="Calibri" w:hAnsi="Times New Roman" w:cs="Times New Roman"/>
          <w:sz w:val="24"/>
          <w:szCs w:val="24"/>
        </w:rPr>
        <w:t>of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the institute screened </w:t>
      </w:r>
      <w:r w:rsidR="00CF7BEA" w:rsidRPr="00E70DBF">
        <w:rPr>
          <w:rFonts w:ascii="Times New Roman" w:eastAsia="Calibri" w:hAnsi="Times New Roman" w:cs="Times New Roman"/>
          <w:sz w:val="24"/>
          <w:szCs w:val="24"/>
        </w:rPr>
        <w:t>1812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persons for communication disorders</w:t>
      </w:r>
      <w:r w:rsidR="00544D2D" w:rsidRPr="00E70DBF">
        <w:rPr>
          <w:rFonts w:ascii="Times New Roman" w:eastAsia="Calibri" w:hAnsi="Times New Roman" w:cs="Times New Roman"/>
          <w:sz w:val="24"/>
          <w:szCs w:val="24"/>
        </w:rPr>
        <w:t xml:space="preserve"> in the camps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. The details are given in table </w:t>
      </w:r>
      <w:r w:rsidR="00E45410">
        <w:rPr>
          <w:rFonts w:ascii="Times New Roman" w:eastAsia="Calibri" w:hAnsi="Times New Roman" w:cs="Times New Roman"/>
          <w:sz w:val="24"/>
          <w:szCs w:val="24"/>
        </w:rPr>
        <w:t>29</w:t>
      </w:r>
      <w:r w:rsidRPr="00E70D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2907" w:rsidRPr="00E70DBF" w:rsidRDefault="005B2907" w:rsidP="00E70D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E45410">
        <w:rPr>
          <w:rFonts w:ascii="Times New Roman" w:eastAsia="Calibri" w:hAnsi="Times New Roman" w:cs="Times New Roman"/>
          <w:sz w:val="24"/>
          <w:szCs w:val="24"/>
        </w:rPr>
        <w:t>29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0E24" w:rsidRPr="00E70DBF">
        <w:rPr>
          <w:rFonts w:ascii="Times New Roman" w:eastAsia="Calibri" w:hAnsi="Times New Roman" w:cs="Times New Roman"/>
          <w:sz w:val="24"/>
          <w:szCs w:val="24"/>
        </w:rPr>
        <w:t xml:space="preserve">Camp based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screening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33"/>
        <w:gridCol w:w="1844"/>
        <w:gridCol w:w="1388"/>
        <w:gridCol w:w="1039"/>
        <w:gridCol w:w="1016"/>
        <w:gridCol w:w="916"/>
        <w:gridCol w:w="1089"/>
      </w:tblGrid>
      <w:tr w:rsidR="00CF7BEA" w:rsidRPr="00DF35A8" w:rsidTr="00DF35A8">
        <w:tc>
          <w:tcPr>
            <w:tcW w:w="788" w:type="pct"/>
            <w:vMerge w:val="restart"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1018" w:type="pct"/>
            <w:vMerge w:val="restart"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Organizers</w:t>
            </w:r>
          </w:p>
        </w:tc>
        <w:tc>
          <w:tcPr>
            <w:tcW w:w="678" w:type="pct"/>
            <w:vMerge w:val="restart"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546" w:type="pct"/>
            <w:vMerge w:val="restart"/>
            <w:vAlign w:val="center"/>
          </w:tcPr>
          <w:p w:rsidR="00CF7BEA" w:rsidRPr="00DF35A8" w:rsidRDefault="004D0E24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Persons </w:t>
            </w:r>
            <w:r w:rsidR="00CF7BEA"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screened/ evaluated</w:t>
            </w:r>
          </w:p>
        </w:tc>
        <w:tc>
          <w:tcPr>
            <w:tcW w:w="1970" w:type="pct"/>
            <w:gridSpan w:val="3"/>
            <w:vAlign w:val="center"/>
          </w:tcPr>
          <w:p w:rsidR="00CF7BEA" w:rsidRPr="00DF35A8" w:rsidRDefault="007A379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Diagnosis</w:t>
            </w:r>
          </w:p>
        </w:tc>
      </w:tr>
      <w:tr w:rsidR="004D0E24" w:rsidRPr="00DF35A8" w:rsidTr="00DF35A8">
        <w:tc>
          <w:tcPr>
            <w:tcW w:w="788" w:type="pct"/>
            <w:vMerge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:rsidR="00CF7BEA" w:rsidRPr="00DF35A8" w:rsidRDefault="00CF7BEA" w:rsidP="00DF35A8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6" w:type="pct"/>
            <w:vMerge/>
            <w:vAlign w:val="center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CF7BEA" w:rsidRPr="00E45410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ENT disorders</w:t>
            </w:r>
          </w:p>
        </w:tc>
        <w:tc>
          <w:tcPr>
            <w:tcW w:w="536" w:type="pct"/>
            <w:vAlign w:val="center"/>
          </w:tcPr>
          <w:p w:rsidR="00CF7BEA" w:rsidRPr="00E45410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Hearing loss</w:t>
            </w:r>
          </w:p>
        </w:tc>
        <w:tc>
          <w:tcPr>
            <w:tcW w:w="751" w:type="pct"/>
            <w:vAlign w:val="center"/>
          </w:tcPr>
          <w:p w:rsidR="00CF7BEA" w:rsidRPr="00E45410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Speech</w:t>
            </w:r>
            <w:r w:rsidR="00C909C2"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 </w:t>
            </w:r>
            <w:r w:rsidR="00C909C2"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E45410">
              <w:rPr>
                <w:rFonts w:ascii="Times New Roman" w:hAnsi="Times New Roman" w:cs="Times New Roman"/>
                <w:b/>
                <w:sz w:val="20"/>
                <w:szCs w:val="20"/>
              </w:rPr>
              <w:t>isorders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Hospet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Karnataka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Lions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Hospet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  <w:r w:rsidR="004D0E24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Mysore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018" w:type="pct"/>
          </w:tcPr>
          <w:p w:rsidR="00CF7BEA" w:rsidRPr="00DF35A8" w:rsidRDefault="004D0E24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Mysore City C</w:t>
            </w:r>
            <w:r w:rsidR="00CF7BEA" w:rsidRPr="00DF35A8">
              <w:rPr>
                <w:rFonts w:ascii="Times New Roman" w:hAnsi="Times New Roman" w:cs="Times New Roman"/>
                <w:sz w:val="20"/>
                <w:szCs w:val="20"/>
              </w:rPr>
              <w:t>orporation,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Mysore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  <w:r w:rsidR="004D0E24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Periyapatna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SSA, Mysore,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r w:rsidR="004D0E24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Mysore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SSA, Mysore,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r w:rsidR="004D0E24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H.D. Kote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SSA, Mysore,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r w:rsidR="004D0E24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Hunsur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SSA, Mysore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Calicut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09C2" w:rsidRPr="00DF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Lions 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, Perambra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ember,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909C2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Ahmedabad, </w:t>
            </w:r>
            <w:r w:rsidR="00CF7BEA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Gujarat 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NSS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Unit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, AIISH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ruary,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E24" w:rsidRPr="00DF35A8" w:rsidTr="004D0E24">
        <w:tc>
          <w:tcPr>
            <w:tcW w:w="78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Udupi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, Karnataka</w:t>
            </w:r>
          </w:p>
        </w:tc>
        <w:tc>
          <w:tcPr>
            <w:tcW w:w="101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Lions 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lub Midtown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, Udupi</w:t>
            </w:r>
          </w:p>
        </w:tc>
        <w:tc>
          <w:tcPr>
            <w:tcW w:w="678" w:type="pct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="00C909C2" w:rsidRPr="00DF35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F7BEA" w:rsidRPr="00DF35A8" w:rsidTr="004D0E24">
        <w:tc>
          <w:tcPr>
            <w:tcW w:w="2483" w:type="pct"/>
            <w:gridSpan w:val="3"/>
          </w:tcPr>
          <w:p w:rsidR="00CF7BEA" w:rsidRPr="00DF35A8" w:rsidRDefault="00CF7BEA" w:rsidP="00DF35A8">
            <w:pPr>
              <w:pStyle w:val="NoSpacing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1812</w:t>
            </w:r>
          </w:p>
        </w:tc>
        <w:tc>
          <w:tcPr>
            <w:tcW w:w="683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6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51" w:type="pct"/>
          </w:tcPr>
          <w:p w:rsidR="00CF7BEA" w:rsidRPr="00DF35A8" w:rsidRDefault="00CF7BEA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5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</w:tbl>
    <w:p w:rsidR="00CF7BEA" w:rsidRPr="00E70DBF" w:rsidRDefault="00CF7BEA" w:rsidP="00E70D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2907" w:rsidRDefault="005471CA" w:rsidP="00E70DB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t>Clinical Services at the Outreach Service Centres</w:t>
      </w:r>
    </w:p>
    <w:p w:rsidR="004D28F2" w:rsidRPr="00E70DBF" w:rsidRDefault="00B90F8E" w:rsidP="00B90F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3021496" cy="2266122"/>
            <wp:effectExtent l="19050" t="0" r="7454" b="0"/>
            <wp:docPr id="5" name="Picture 5" descr="I:\AnnualReport-2014-15\SelectedPhotos\Camps-Hearing 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nnualReport-2014-15\SelectedPhotos\Camps-Hearing evaluati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97" cy="226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F2" w:rsidRPr="00E45410" w:rsidRDefault="003847A5" w:rsidP="00E70DB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4"/>
          <w:lang w:val="en-IN"/>
        </w:rPr>
        <w:sectPr w:rsidR="004D28F2" w:rsidRPr="00E45410" w:rsidSect="00756D09">
          <w:type w:val="continuous"/>
          <w:pgSz w:w="11909" w:h="16834" w:code="9"/>
          <w:pgMar w:top="1440" w:right="1800" w:bottom="1440" w:left="1800" w:header="720" w:footer="720" w:gutter="0"/>
          <w:cols w:space="360"/>
          <w:docGrid w:linePitch="360"/>
        </w:sectPr>
      </w:pPr>
      <w:r w:rsidRPr="00E45410">
        <w:rPr>
          <w:rFonts w:ascii="Times New Roman" w:eastAsia="Calibri" w:hAnsi="Times New Roman" w:cs="Times New Roman"/>
          <w:sz w:val="20"/>
          <w:szCs w:val="24"/>
          <w:lang w:val="en-IN"/>
        </w:rPr>
        <w:t xml:space="preserve">Hearing test </w:t>
      </w:r>
      <w:r w:rsidR="004D28F2" w:rsidRPr="00E45410">
        <w:rPr>
          <w:rFonts w:ascii="Times New Roman" w:eastAsia="Calibri" w:hAnsi="Times New Roman" w:cs="Times New Roman"/>
          <w:sz w:val="20"/>
          <w:szCs w:val="24"/>
          <w:lang w:val="en-IN"/>
        </w:rPr>
        <w:t>in Outreach Service Centre</w:t>
      </w:r>
    </w:p>
    <w:p w:rsidR="0093759E" w:rsidRPr="00E70DBF" w:rsidRDefault="004D0E24" w:rsidP="00E70DBF">
      <w:pPr>
        <w:widowControl w:val="0"/>
        <w:autoSpaceDE w:val="0"/>
        <w:autoSpaceDN w:val="0"/>
        <w:adjustRightInd w:val="0"/>
        <w:spacing w:after="0" w:line="360" w:lineRule="auto"/>
        <w:ind w:right="-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lastRenderedPageBreak/>
        <w:t>D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iagnostic and therapeutic services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on communication disorders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were provided at the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four</w:t>
      </w:r>
      <w:r w:rsidR="00B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DBF">
        <w:rPr>
          <w:rFonts w:ascii="Times New Roman" w:eastAsia="Calibri" w:hAnsi="Times New Roman" w:cs="Times New Roman"/>
          <w:sz w:val="24"/>
          <w:szCs w:val="24"/>
        </w:rPr>
        <w:t>O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utreach </w:t>
      </w:r>
      <w:r w:rsidRPr="00E70DBF">
        <w:rPr>
          <w:rFonts w:ascii="Times New Roman" w:eastAsia="Calibri" w:hAnsi="Times New Roman" w:cs="Times New Roman"/>
          <w:sz w:val="24"/>
          <w:szCs w:val="24"/>
        </w:rPr>
        <w:t>Service C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entres of the institute located in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sub-divisional taluk hospital at Sagara</w:t>
      </w:r>
      <w:r w:rsidR="00B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taluk, Shivamoga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Primary Health Centre</w:t>
      </w:r>
      <w:r w:rsidRPr="00E70DBF">
        <w:rPr>
          <w:rFonts w:ascii="Times New Roman" w:eastAsia="Calibri" w:hAnsi="Times New Roman" w:cs="Times New Roman"/>
          <w:sz w:val="24"/>
          <w:szCs w:val="24"/>
        </w:rPr>
        <w:t>s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 xml:space="preserve"> at Hullahalli, Mysuru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Akkihebbalu, Mandya</w:t>
      </w:r>
      <w:r w:rsidR="00B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>Gumballi, Chamarajanagara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. Totally</w:t>
      </w:r>
      <w:r w:rsidR="00401161" w:rsidRPr="00E70DBF">
        <w:rPr>
          <w:rFonts w:ascii="Times New Roman" w:eastAsia="Calibri" w:hAnsi="Times New Roman" w:cs="Times New Roman"/>
          <w:sz w:val="24"/>
          <w:szCs w:val="24"/>
        </w:rPr>
        <w:t>,</w:t>
      </w:r>
      <w:r w:rsidR="00B90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663" w:rsidRPr="00E70DBF">
        <w:rPr>
          <w:rFonts w:ascii="Times New Roman" w:eastAsia="Calibri" w:hAnsi="Times New Roman" w:cs="Times New Roman"/>
          <w:sz w:val="24"/>
          <w:szCs w:val="24"/>
        </w:rPr>
        <w:t xml:space="preserve">2111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>persons availed the services</w:t>
      </w:r>
      <w:r w:rsidR="0093759E" w:rsidRPr="00E70DBF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5B2907" w:rsidRPr="00E70DBF">
        <w:rPr>
          <w:rFonts w:ascii="Times New Roman" w:eastAsia="Calibri" w:hAnsi="Times New Roman" w:cs="Times New Roman"/>
          <w:sz w:val="24"/>
          <w:szCs w:val="24"/>
        </w:rPr>
        <w:t xml:space="preserve">details are given in </w:t>
      </w:r>
      <w:r w:rsidR="005471CA" w:rsidRPr="00E70DBF">
        <w:rPr>
          <w:rFonts w:ascii="Times New Roman" w:eastAsia="Calibri" w:hAnsi="Times New Roman" w:cs="Times New Roman"/>
          <w:sz w:val="24"/>
          <w:szCs w:val="24"/>
        </w:rPr>
        <w:t>table</w:t>
      </w:r>
      <w:r w:rsidR="00E45410">
        <w:rPr>
          <w:rFonts w:ascii="Times New Roman" w:eastAsia="Calibri" w:hAnsi="Times New Roman" w:cs="Times New Roman"/>
          <w:sz w:val="24"/>
          <w:szCs w:val="24"/>
        </w:rPr>
        <w:t xml:space="preserve"> 30.</w:t>
      </w:r>
      <w:r w:rsidR="005471CA" w:rsidRPr="00E70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59E" w:rsidRPr="00E70DBF">
        <w:rPr>
          <w:rFonts w:ascii="Times New Roman" w:eastAsia="Calibri" w:hAnsi="Times New Roman" w:cs="Times New Roman"/>
          <w:sz w:val="24"/>
          <w:szCs w:val="24"/>
        </w:rPr>
        <w:t xml:space="preserve">Thirty six persons </w:t>
      </w:r>
      <w:r w:rsidR="00B90F8E">
        <w:rPr>
          <w:rFonts w:ascii="Times New Roman" w:eastAsia="Calibri" w:hAnsi="Times New Roman" w:cs="Times New Roman"/>
          <w:sz w:val="24"/>
          <w:szCs w:val="24"/>
        </w:rPr>
        <w:t xml:space="preserve">(1.70%) </w:t>
      </w:r>
      <w:r w:rsidR="0093759E" w:rsidRPr="00E70DBF">
        <w:rPr>
          <w:rFonts w:ascii="Times New Roman" w:eastAsia="Calibri" w:hAnsi="Times New Roman" w:cs="Times New Roman"/>
          <w:sz w:val="24"/>
          <w:szCs w:val="24"/>
        </w:rPr>
        <w:t xml:space="preserve">identified with speech-language disorders underwent therapy in 303 sessions. Also, 142 hearing aids were distributed among the persons identified with hearing impairment. </w:t>
      </w:r>
    </w:p>
    <w:p w:rsidR="00256663" w:rsidRPr="00E45410" w:rsidRDefault="00256663" w:rsidP="00E70DB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5410"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E45410">
        <w:rPr>
          <w:rFonts w:ascii="Times New Roman" w:eastAsia="Calibri" w:hAnsi="Times New Roman" w:cs="Times New Roman"/>
          <w:sz w:val="24"/>
          <w:szCs w:val="24"/>
        </w:rPr>
        <w:t>30</w:t>
      </w:r>
      <w:r w:rsidRPr="00E454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01161" w:rsidRPr="00E45410">
        <w:rPr>
          <w:rFonts w:ascii="Times New Roman" w:eastAsia="Calibri" w:hAnsi="Times New Roman" w:cs="Times New Roman"/>
          <w:sz w:val="24"/>
          <w:szCs w:val="24"/>
        </w:rPr>
        <w:t xml:space="preserve">Clinical services at </w:t>
      </w:r>
      <w:r w:rsidRPr="00E45410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401161" w:rsidRPr="00E45410">
        <w:rPr>
          <w:rFonts w:ascii="Times New Roman" w:eastAsia="Calibri" w:hAnsi="Times New Roman" w:cs="Times New Roman"/>
          <w:sz w:val="24"/>
          <w:szCs w:val="24"/>
        </w:rPr>
        <w:t>Outreach Service Centres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65"/>
        <w:gridCol w:w="1386"/>
        <w:gridCol w:w="1340"/>
        <w:gridCol w:w="1251"/>
        <w:gridCol w:w="1983"/>
      </w:tblGrid>
      <w:tr w:rsidR="00401161" w:rsidRPr="00E70DBF" w:rsidTr="00AF3BB5">
        <w:trPr>
          <w:trHeight w:val="300"/>
          <w:jc w:val="center"/>
        </w:trPr>
        <w:tc>
          <w:tcPr>
            <w:tcW w:w="1504" w:type="pct"/>
            <w:vMerge w:val="restart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Outreach Service Centres</w:t>
            </w:r>
          </w:p>
        </w:tc>
        <w:tc>
          <w:tcPr>
            <w:tcW w:w="813" w:type="pct"/>
            <w:vMerge w:val="restart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Total persons registered</w:t>
            </w:r>
          </w:p>
        </w:tc>
        <w:tc>
          <w:tcPr>
            <w:tcW w:w="2683" w:type="pct"/>
            <w:gridSpan w:val="3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Diagnosis</w:t>
            </w:r>
          </w:p>
        </w:tc>
      </w:tr>
      <w:tr w:rsidR="00401161" w:rsidRPr="00E70DBF" w:rsidTr="00AF3BB5">
        <w:trPr>
          <w:trHeight w:val="299"/>
          <w:jc w:val="center"/>
        </w:trPr>
        <w:tc>
          <w:tcPr>
            <w:tcW w:w="1504" w:type="pct"/>
            <w:vMerge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ENT Disorder (Ear wise)</w:t>
            </w:r>
          </w:p>
        </w:tc>
        <w:tc>
          <w:tcPr>
            <w:tcW w:w="734" w:type="pct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Hearing Disorder</w:t>
            </w:r>
          </w:p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(Ear wise)</w:t>
            </w:r>
          </w:p>
        </w:tc>
        <w:tc>
          <w:tcPr>
            <w:tcW w:w="1163" w:type="pct"/>
            <w:vAlign w:val="center"/>
          </w:tcPr>
          <w:p w:rsidR="00401161" w:rsidRPr="00AF3BB5" w:rsidRDefault="00401161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b/>
                <w:sz w:val="20"/>
                <w:szCs w:val="20"/>
              </w:rPr>
              <w:t>Speech &amp; Language Disorder (Individuals)</w:t>
            </w:r>
          </w:p>
        </w:tc>
      </w:tr>
      <w:tr w:rsidR="00256663" w:rsidRPr="00E70DBF" w:rsidTr="00401161">
        <w:trPr>
          <w:jc w:val="center"/>
        </w:trPr>
        <w:tc>
          <w:tcPr>
            <w:tcW w:w="1504" w:type="pct"/>
          </w:tcPr>
          <w:p w:rsidR="00256663" w:rsidRPr="00AF3BB5" w:rsidRDefault="00256663" w:rsidP="00AF3BB5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Primary Health Centre</w:t>
            </w:r>
            <w:r w:rsidR="00401161" w:rsidRPr="00AF3B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Hullahalli</w:t>
            </w:r>
          </w:p>
        </w:tc>
        <w:tc>
          <w:tcPr>
            <w:tcW w:w="81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786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734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6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56663" w:rsidRPr="00E70DBF" w:rsidTr="00401161">
        <w:trPr>
          <w:jc w:val="center"/>
        </w:trPr>
        <w:tc>
          <w:tcPr>
            <w:tcW w:w="1504" w:type="pct"/>
          </w:tcPr>
          <w:p w:rsidR="00256663" w:rsidRPr="00AF3BB5" w:rsidRDefault="00256663" w:rsidP="00AF3BB5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Primary Health Centre</w:t>
            </w:r>
            <w:r w:rsidR="00401161" w:rsidRPr="00AF3B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Akkihebbalu</w:t>
            </w:r>
          </w:p>
        </w:tc>
        <w:tc>
          <w:tcPr>
            <w:tcW w:w="81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86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34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6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56663" w:rsidRPr="00E70DBF" w:rsidTr="00401161">
        <w:trPr>
          <w:jc w:val="center"/>
        </w:trPr>
        <w:tc>
          <w:tcPr>
            <w:tcW w:w="1504" w:type="pct"/>
          </w:tcPr>
          <w:p w:rsidR="00256663" w:rsidRPr="00AF3BB5" w:rsidRDefault="00256663" w:rsidP="00AF3BB5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Primary Health Centre,  Gumballi</w:t>
            </w:r>
          </w:p>
        </w:tc>
        <w:tc>
          <w:tcPr>
            <w:tcW w:w="81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786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34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163" w:type="pct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56663" w:rsidRPr="00E70DBF" w:rsidTr="00401161">
        <w:trPr>
          <w:jc w:val="center"/>
        </w:trPr>
        <w:tc>
          <w:tcPr>
            <w:tcW w:w="1504" w:type="pct"/>
            <w:tcBorders>
              <w:bottom w:val="single" w:sz="4" w:space="0" w:color="000000"/>
            </w:tcBorders>
          </w:tcPr>
          <w:p w:rsidR="00256663" w:rsidRPr="00AF3BB5" w:rsidRDefault="00256663" w:rsidP="00AF3BB5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Sub-divisional Hospital, Sagara</w:t>
            </w:r>
          </w:p>
        </w:tc>
        <w:tc>
          <w:tcPr>
            <w:tcW w:w="813" w:type="pct"/>
            <w:tcBorders>
              <w:bottom w:val="single" w:sz="4" w:space="0" w:color="000000"/>
            </w:tcBorders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6" w:type="pct"/>
            <w:tcBorders>
              <w:bottom w:val="single" w:sz="4" w:space="0" w:color="000000"/>
            </w:tcBorders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pct"/>
            <w:tcBorders>
              <w:bottom w:val="single" w:sz="4" w:space="0" w:color="000000"/>
            </w:tcBorders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3" w:type="pct"/>
            <w:tcBorders>
              <w:bottom w:val="single" w:sz="4" w:space="0" w:color="000000"/>
            </w:tcBorders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6663" w:rsidRPr="00E70DBF" w:rsidTr="00401161">
        <w:trPr>
          <w:jc w:val="center"/>
        </w:trPr>
        <w:tc>
          <w:tcPr>
            <w:tcW w:w="1504" w:type="pct"/>
            <w:shd w:val="pct12" w:color="auto" w:fill="auto"/>
          </w:tcPr>
          <w:p w:rsidR="00256663" w:rsidRPr="00AF3BB5" w:rsidRDefault="00256663" w:rsidP="00AF3BB5">
            <w:pPr>
              <w:pStyle w:val="NoSpacing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F3BB5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813" w:type="pct"/>
            <w:shd w:val="pct12" w:color="auto" w:fill="auto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F3BB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786" w:type="pct"/>
            <w:shd w:val="pct12" w:color="auto" w:fill="auto"/>
            <w:vAlign w:val="bottom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F3BB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734" w:type="pct"/>
            <w:shd w:val="pct12" w:color="auto" w:fill="auto"/>
            <w:vAlign w:val="bottom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F3BB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63" w:type="pct"/>
            <w:shd w:val="pct12" w:color="auto" w:fill="auto"/>
            <w:vAlign w:val="bottom"/>
          </w:tcPr>
          <w:p w:rsidR="00256663" w:rsidRPr="00AF3BB5" w:rsidRDefault="00256663" w:rsidP="00AF3BB5">
            <w:pPr>
              <w:pStyle w:val="NoSpacing"/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F3BB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</w:tbl>
    <w:p w:rsidR="00256663" w:rsidRPr="00E70DBF" w:rsidRDefault="00256663" w:rsidP="00AF3BB5">
      <w:pPr>
        <w:widowControl w:val="0"/>
        <w:autoSpaceDE w:val="0"/>
        <w:autoSpaceDN w:val="0"/>
        <w:adjustRightInd w:val="0"/>
        <w:spacing w:after="0" w:line="360" w:lineRule="auto"/>
        <w:ind w:right="-43"/>
        <w:rPr>
          <w:rFonts w:ascii="Times New Roman" w:eastAsia="Calibri" w:hAnsi="Times New Roman" w:cs="Times New Roman"/>
          <w:sz w:val="24"/>
          <w:szCs w:val="24"/>
        </w:rPr>
      </w:pPr>
    </w:p>
    <w:p w:rsidR="0043720D" w:rsidRPr="00E70DBF" w:rsidRDefault="0043720D" w:rsidP="00AF3BB5">
      <w:pPr>
        <w:widowControl w:val="0"/>
        <w:autoSpaceDE w:val="0"/>
        <w:autoSpaceDN w:val="0"/>
        <w:adjustRightInd w:val="0"/>
        <w:spacing w:after="0" w:line="360" w:lineRule="auto"/>
        <w:ind w:right="-43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t>Tele-Intervention and Tele-Assessment</w:t>
      </w:r>
      <w:r w:rsidR="00CB049D" w:rsidRPr="00E70DBF">
        <w:rPr>
          <w:rFonts w:ascii="Times New Roman" w:eastAsia="Calibri" w:hAnsi="Times New Roman" w:cs="Times New Roman"/>
          <w:b/>
          <w:sz w:val="24"/>
          <w:szCs w:val="24"/>
        </w:rPr>
        <w:t xml:space="preserve"> Services </w:t>
      </w:r>
    </w:p>
    <w:p w:rsidR="004D43DE" w:rsidRDefault="00FE2D81" w:rsidP="00E70DBF">
      <w:pPr>
        <w:widowControl w:val="0"/>
        <w:autoSpaceDE w:val="0"/>
        <w:autoSpaceDN w:val="0"/>
        <w:adjustRightInd w:val="0"/>
        <w:spacing w:after="0" w:line="360" w:lineRule="auto"/>
        <w:ind w:right="-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ele-assessment </w:t>
      </w:r>
      <w:r w:rsidR="004D43DE" w:rsidRPr="00E70DB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ele-intervention </w:t>
      </w:r>
      <w:r w:rsidR="004D43DE" w:rsidRPr="00E70DBF">
        <w:rPr>
          <w:rFonts w:ascii="Times New Roman" w:eastAsia="Calibri" w:hAnsi="Times New Roman" w:cs="Times New Roman"/>
          <w:sz w:val="24"/>
          <w:szCs w:val="24"/>
        </w:rPr>
        <w:t xml:space="preserve">services were offered to </w:t>
      </w:r>
      <w:r w:rsidR="004D43DE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Persons with Communication Disorders at the DHLS centres of the Institute </w:t>
      </w:r>
      <w:r w:rsidR="00483897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>located in different parts of the country through AIISH video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="00483897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>conferencing system</w:t>
      </w:r>
      <w:r w:rsidR="009242B1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The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T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ele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C</w:t>
      </w:r>
      <w:r w:rsidR="009242B1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entre 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P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ersons with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C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ommunication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D</w:t>
      </w:r>
      <w:r w:rsidR="00B90F8E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isorder </w:t>
      </w:r>
      <w:r w:rsidR="009242B1" w:rsidRPr="00E70DBF">
        <w:rPr>
          <w:rFonts w:ascii="Times New Roman" w:eastAsia="Calibri" w:hAnsi="Times New Roman" w:cs="Times New Roman"/>
          <w:sz w:val="24"/>
          <w:szCs w:val="24"/>
          <w:lang w:val="en-IN"/>
        </w:rPr>
        <w:t>also offered the t</w:t>
      </w:r>
      <w:r w:rsidR="009242B1" w:rsidRPr="00E70DBF">
        <w:rPr>
          <w:rFonts w:ascii="Times New Roman" w:eastAsia="Calibri" w:hAnsi="Times New Roman" w:cs="Times New Roman"/>
          <w:sz w:val="24"/>
          <w:szCs w:val="24"/>
        </w:rPr>
        <w:t>ele-intervention and tele-assessment services through Skype, the popular web based communication tool. The details are given in table</w:t>
      </w:r>
      <w:r w:rsidR="008F575D">
        <w:rPr>
          <w:rFonts w:ascii="Times New Roman" w:eastAsia="Calibri" w:hAnsi="Times New Roman" w:cs="Times New Roman"/>
          <w:sz w:val="24"/>
          <w:szCs w:val="24"/>
        </w:rPr>
        <w:t>s</w:t>
      </w:r>
      <w:r w:rsidR="00E45410">
        <w:rPr>
          <w:rFonts w:ascii="Times New Roman" w:eastAsia="Calibri" w:hAnsi="Times New Roman" w:cs="Times New Roman"/>
          <w:sz w:val="24"/>
          <w:szCs w:val="24"/>
        </w:rPr>
        <w:t xml:space="preserve"> 31</w:t>
      </w:r>
      <w:r w:rsidR="008F575D">
        <w:rPr>
          <w:rFonts w:ascii="Times New Roman" w:eastAsia="Calibri" w:hAnsi="Times New Roman" w:cs="Times New Roman"/>
          <w:sz w:val="24"/>
          <w:szCs w:val="24"/>
        </w:rPr>
        <w:t xml:space="preserve"> and 32</w:t>
      </w:r>
      <w:r w:rsidR="00E45410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8F575D">
        <w:rPr>
          <w:rFonts w:ascii="Times New Roman" w:eastAsia="Calibri" w:hAnsi="Times New Roman" w:cs="Times New Roman"/>
          <w:sz w:val="24"/>
          <w:szCs w:val="24"/>
        </w:rPr>
        <w:t>figure</w:t>
      </w:r>
      <w:r w:rsidR="00756D09">
        <w:rPr>
          <w:rFonts w:ascii="Times New Roman" w:eastAsia="Calibri" w:hAnsi="Times New Roman" w:cs="Times New Roman"/>
          <w:sz w:val="24"/>
          <w:szCs w:val="24"/>
        </w:rPr>
        <w:t>s</w:t>
      </w:r>
      <w:r w:rsidR="008F575D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756D09">
        <w:rPr>
          <w:rFonts w:ascii="Times New Roman" w:eastAsia="Calibri" w:hAnsi="Times New Roman" w:cs="Times New Roman"/>
          <w:sz w:val="24"/>
          <w:szCs w:val="24"/>
        </w:rPr>
        <w:t xml:space="preserve"> and 19</w:t>
      </w:r>
      <w:r w:rsidR="00E454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6D09" w:rsidRDefault="00756D09" w:rsidP="00AF3BB5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BB5" w:rsidRPr="00E70DBF" w:rsidRDefault="00AF3BB5" w:rsidP="00AF3BB5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E45410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: Tele Intervention and Tele Assessment Services through Videoconferencing</w:t>
      </w:r>
    </w:p>
    <w:tbl>
      <w:tblPr>
        <w:tblStyle w:val="TableGrid"/>
        <w:tblW w:w="0" w:type="auto"/>
        <w:tblLayout w:type="fixed"/>
        <w:tblLook w:val="04A0"/>
      </w:tblPr>
      <w:tblGrid>
        <w:gridCol w:w="1194"/>
        <w:gridCol w:w="610"/>
        <w:gridCol w:w="734"/>
        <w:gridCol w:w="4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3728E4" w:rsidTr="006222F2">
        <w:tc>
          <w:tcPr>
            <w:tcW w:w="1194" w:type="dxa"/>
            <w:vMerge w:val="restart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Services</w:t>
            </w:r>
          </w:p>
        </w:tc>
        <w:tc>
          <w:tcPr>
            <w:tcW w:w="1344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Phonological / articulation</w:t>
            </w:r>
          </w:p>
        </w:tc>
        <w:tc>
          <w:tcPr>
            <w:tcW w:w="1099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Fluency</w:t>
            </w:r>
          </w:p>
        </w:tc>
        <w:tc>
          <w:tcPr>
            <w:tcW w:w="1222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Voice</w:t>
            </w:r>
          </w:p>
        </w:tc>
        <w:tc>
          <w:tcPr>
            <w:tcW w:w="1222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Language</w:t>
            </w:r>
          </w:p>
        </w:tc>
        <w:tc>
          <w:tcPr>
            <w:tcW w:w="1222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Multiple</w:t>
            </w:r>
          </w:p>
        </w:tc>
        <w:tc>
          <w:tcPr>
            <w:tcW w:w="1222" w:type="dxa"/>
            <w:gridSpan w:val="2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Total</w:t>
            </w:r>
          </w:p>
        </w:tc>
      </w:tr>
      <w:tr w:rsidR="003728E4" w:rsidTr="006222F2">
        <w:tc>
          <w:tcPr>
            <w:tcW w:w="1194" w:type="dxa"/>
            <w:vMerge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610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734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488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3728E4" w:rsidRPr="00100DEA" w:rsidRDefault="003728E4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</w:tr>
      <w:tr w:rsidR="00100DEA" w:rsidTr="006222F2">
        <w:tc>
          <w:tcPr>
            <w:tcW w:w="1194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Tele Assessment</w:t>
            </w:r>
          </w:p>
        </w:tc>
        <w:tc>
          <w:tcPr>
            <w:tcW w:w="1344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11</w:t>
            </w:r>
          </w:p>
        </w:tc>
        <w:tc>
          <w:tcPr>
            <w:tcW w:w="1222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4</w:t>
            </w:r>
          </w:p>
        </w:tc>
        <w:tc>
          <w:tcPr>
            <w:tcW w:w="1222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22</w:t>
            </w:r>
          </w:p>
        </w:tc>
        <w:tc>
          <w:tcPr>
            <w:tcW w:w="1222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43</w:t>
            </w:r>
          </w:p>
        </w:tc>
      </w:tr>
      <w:tr w:rsidR="00100DEA" w:rsidTr="006222F2">
        <w:tc>
          <w:tcPr>
            <w:tcW w:w="1194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Tele Intervention</w:t>
            </w:r>
          </w:p>
        </w:tc>
        <w:tc>
          <w:tcPr>
            <w:tcW w:w="610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6</w:t>
            </w:r>
          </w:p>
        </w:tc>
        <w:tc>
          <w:tcPr>
            <w:tcW w:w="734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11</w:t>
            </w:r>
          </w:p>
        </w:tc>
        <w:tc>
          <w:tcPr>
            <w:tcW w:w="488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22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33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7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9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49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56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4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7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88</w:t>
            </w:r>
          </w:p>
        </w:tc>
        <w:tc>
          <w:tcPr>
            <w:tcW w:w="611" w:type="dxa"/>
            <w:vAlign w:val="center"/>
          </w:tcPr>
          <w:p w:rsidR="00100DEA" w:rsidRPr="00100DEA" w:rsidRDefault="00100DEA" w:rsidP="006222F2">
            <w:pPr>
              <w:spacing w:before="40" w:after="4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116</w:t>
            </w:r>
          </w:p>
        </w:tc>
      </w:tr>
    </w:tbl>
    <w:p w:rsidR="009242B1" w:rsidRDefault="003728E4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728E4">
        <w:rPr>
          <w:rFonts w:ascii="Times New Roman" w:eastAsia="Calibri" w:hAnsi="Times New Roman" w:cs="Times New Roman"/>
          <w:sz w:val="20"/>
          <w:szCs w:val="24"/>
        </w:rPr>
        <w:t>C-Clients; S-Sessions</w:t>
      </w:r>
    </w:p>
    <w:p w:rsidR="008F575D" w:rsidRDefault="008F575D" w:rsidP="008F575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8F575D" w:rsidRDefault="008F575D" w:rsidP="008F575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8F575D" w:rsidRDefault="008F575D" w:rsidP="00C0290A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75D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330314" cy="3633746"/>
            <wp:effectExtent l="1905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75D" w:rsidRPr="008F575D" w:rsidRDefault="008F575D" w:rsidP="008F575D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F575D">
        <w:rPr>
          <w:rFonts w:ascii="Times New Roman" w:eastAsia="Calibri" w:hAnsi="Times New Roman" w:cs="Times New Roman"/>
          <w:sz w:val="20"/>
          <w:szCs w:val="24"/>
        </w:rPr>
        <w:t>Figure 18: Tele-intervention through videoconferencing</w:t>
      </w:r>
    </w:p>
    <w:p w:rsidR="008F575D" w:rsidRPr="008F575D" w:rsidRDefault="008F575D" w:rsidP="00C0290A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0290A" w:rsidRDefault="00C0290A" w:rsidP="00C0290A">
      <w:pPr>
        <w:widowControl w:val="0"/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8F575D">
        <w:rPr>
          <w:rFonts w:ascii="Times New Roman" w:eastAsia="Calibri" w:hAnsi="Times New Roman" w:cs="Times New Roman"/>
          <w:sz w:val="24"/>
          <w:szCs w:val="24"/>
        </w:rPr>
        <w:t>32</w:t>
      </w:r>
      <w:r>
        <w:rPr>
          <w:rFonts w:ascii="Times New Roman" w:eastAsia="Calibri" w:hAnsi="Times New Roman" w:cs="Times New Roman"/>
          <w:sz w:val="24"/>
          <w:szCs w:val="24"/>
        </w:rPr>
        <w:t xml:space="preserve">: Tele Intervention and Tele Assessment Services through </w:t>
      </w:r>
      <w:r w:rsidR="002C1877">
        <w:rPr>
          <w:rFonts w:ascii="Times New Roman" w:eastAsia="Calibri" w:hAnsi="Times New Roman" w:cs="Times New Roman"/>
          <w:sz w:val="24"/>
          <w:szCs w:val="24"/>
        </w:rPr>
        <w:t>Skype</w:t>
      </w:r>
    </w:p>
    <w:tbl>
      <w:tblPr>
        <w:tblStyle w:val="TableGrid"/>
        <w:tblW w:w="0" w:type="auto"/>
        <w:tblLayout w:type="fixed"/>
        <w:tblLook w:val="04A0"/>
      </w:tblPr>
      <w:tblGrid>
        <w:gridCol w:w="1194"/>
        <w:gridCol w:w="610"/>
        <w:gridCol w:w="734"/>
        <w:gridCol w:w="4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2C1877" w:rsidTr="008401B0">
        <w:tc>
          <w:tcPr>
            <w:tcW w:w="1194" w:type="dxa"/>
            <w:vMerge w:val="restart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Services</w:t>
            </w:r>
          </w:p>
        </w:tc>
        <w:tc>
          <w:tcPr>
            <w:tcW w:w="1344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Phonological / articulation</w:t>
            </w:r>
          </w:p>
        </w:tc>
        <w:tc>
          <w:tcPr>
            <w:tcW w:w="1099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Fluency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Voice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Language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Multiple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Total</w:t>
            </w:r>
          </w:p>
        </w:tc>
      </w:tr>
      <w:tr w:rsidR="002C1877" w:rsidTr="008401B0">
        <w:tc>
          <w:tcPr>
            <w:tcW w:w="1194" w:type="dxa"/>
            <w:vMerge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</w:p>
        </w:tc>
        <w:tc>
          <w:tcPr>
            <w:tcW w:w="610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734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488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C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S</w:t>
            </w:r>
          </w:p>
        </w:tc>
      </w:tr>
      <w:tr w:rsidR="002C1877" w:rsidTr="008401B0">
        <w:tc>
          <w:tcPr>
            <w:tcW w:w="1194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Tele Assessment</w:t>
            </w:r>
          </w:p>
        </w:tc>
        <w:tc>
          <w:tcPr>
            <w:tcW w:w="1344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99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22" w:type="dxa"/>
            <w:gridSpan w:val="2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</w:tr>
      <w:tr w:rsidR="002C1877" w:rsidTr="008401B0">
        <w:tc>
          <w:tcPr>
            <w:tcW w:w="1194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 w:rsidRPr="00100DEA">
              <w:rPr>
                <w:rFonts w:eastAsia="Calibri"/>
              </w:rPr>
              <w:t>Tele Intervention</w:t>
            </w:r>
          </w:p>
        </w:tc>
        <w:tc>
          <w:tcPr>
            <w:tcW w:w="610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34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8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611" w:type="dxa"/>
            <w:vAlign w:val="center"/>
          </w:tcPr>
          <w:p w:rsidR="002C1877" w:rsidRPr="00100DEA" w:rsidRDefault="002C1877" w:rsidP="008F575D">
            <w:pPr>
              <w:spacing w:before="20" w:after="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532</w:t>
            </w:r>
          </w:p>
        </w:tc>
      </w:tr>
    </w:tbl>
    <w:p w:rsidR="002C1877" w:rsidRDefault="002C1877" w:rsidP="002C187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728E4">
        <w:rPr>
          <w:rFonts w:ascii="Times New Roman" w:eastAsia="Calibri" w:hAnsi="Times New Roman" w:cs="Times New Roman"/>
          <w:sz w:val="20"/>
          <w:szCs w:val="24"/>
        </w:rPr>
        <w:t>C-Clients; S-Sessions</w:t>
      </w:r>
    </w:p>
    <w:p w:rsidR="00C0290A" w:rsidRDefault="008F575D" w:rsidP="008F575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F575D">
        <w:rPr>
          <w:rFonts w:ascii="Times New Roman" w:eastAsia="Calibri" w:hAnsi="Times New Roman" w:cs="Times New Roman"/>
          <w:noProof/>
          <w:sz w:val="20"/>
          <w:szCs w:val="24"/>
          <w:lang w:val="en-IN" w:eastAsia="en-IN"/>
        </w:rPr>
        <w:drawing>
          <wp:inline distT="0" distB="0" distL="0" distR="0">
            <wp:extent cx="4378021" cy="2544418"/>
            <wp:effectExtent l="19050" t="0" r="3479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575D" w:rsidRDefault="008F575D" w:rsidP="00960219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Figure 19</w:t>
      </w:r>
      <w:r w:rsidR="00960219">
        <w:rPr>
          <w:rFonts w:ascii="Times New Roman" w:eastAsia="Calibri" w:hAnsi="Times New Roman" w:cs="Times New Roman"/>
          <w:sz w:val="20"/>
          <w:szCs w:val="24"/>
        </w:rPr>
        <w:t>: Tele-intervention through skye</w:t>
      </w:r>
    </w:p>
    <w:p w:rsidR="00FC2698" w:rsidRPr="00E70DBF" w:rsidRDefault="00FC2698" w:rsidP="002C187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0D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Tele-Educational Guidance and Counseling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Educational guidance and counseling were given to </w:t>
      </w:r>
      <w:r w:rsidR="001F7C5D" w:rsidRPr="00E70DBF">
        <w:rPr>
          <w:rFonts w:ascii="Times New Roman" w:eastAsia="Calibri" w:hAnsi="Times New Roman" w:cs="Times New Roman"/>
          <w:sz w:val="24"/>
          <w:szCs w:val="24"/>
        </w:rPr>
        <w:t>8</w:t>
      </w:r>
      <w:r w:rsidRPr="00E70DBF">
        <w:rPr>
          <w:rFonts w:ascii="Times New Roman" w:eastAsia="Calibri" w:hAnsi="Times New Roman" w:cs="Times New Roman"/>
          <w:sz w:val="24"/>
          <w:szCs w:val="24"/>
        </w:rPr>
        <w:t xml:space="preserve"> parents of children with communication disorders at the DHLS centres through videoconferencing and S</w:t>
      </w:r>
      <w:r w:rsidR="00787649" w:rsidRPr="00E70DBF">
        <w:rPr>
          <w:rFonts w:ascii="Times New Roman" w:eastAsia="Calibri" w:hAnsi="Times New Roman" w:cs="Times New Roman"/>
          <w:sz w:val="24"/>
          <w:szCs w:val="24"/>
        </w:rPr>
        <w:t xml:space="preserve">kype </w:t>
      </w:r>
      <w:r w:rsidR="00E74070" w:rsidRPr="00E70DBF">
        <w:rPr>
          <w:rFonts w:ascii="Times New Roman" w:eastAsia="Calibri" w:hAnsi="Times New Roman" w:cs="Times New Roman"/>
          <w:sz w:val="24"/>
          <w:szCs w:val="24"/>
        </w:rPr>
        <w:t xml:space="preserve">on various topics related to the education of children with </w:t>
      </w:r>
      <w:r w:rsidRPr="00E70DBF">
        <w:rPr>
          <w:rFonts w:ascii="Times New Roman" w:eastAsia="Calibri" w:hAnsi="Times New Roman" w:cs="Times New Roman"/>
          <w:sz w:val="24"/>
          <w:szCs w:val="24"/>
        </w:rPr>
        <w:t>special need</w:t>
      </w:r>
      <w:r w:rsidR="00733BF7" w:rsidRPr="00E70DBF">
        <w:rPr>
          <w:rFonts w:ascii="Times New Roman" w:eastAsia="Calibri" w:hAnsi="Times New Roman" w:cs="Times New Roman"/>
          <w:sz w:val="24"/>
          <w:szCs w:val="24"/>
        </w:rPr>
        <w:t>s and on the government sponsored beneficiary schemes</w:t>
      </w:r>
      <w:r w:rsidR="00945C95" w:rsidRPr="00E70D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E8C" w:rsidRPr="00E70DBF" w:rsidRDefault="00AC7E8C" w:rsidP="002C18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BF">
        <w:rPr>
          <w:rFonts w:ascii="Times New Roman" w:eastAsia="Times New Roman" w:hAnsi="Times New Roman" w:cs="Times New Roman"/>
          <w:b/>
          <w:sz w:val="24"/>
          <w:szCs w:val="24"/>
        </w:rPr>
        <w:t>Mainstream School Adoption</w:t>
      </w:r>
    </w:p>
    <w:p w:rsidR="005B2907" w:rsidRPr="00E70DBF" w:rsidRDefault="005B2907" w:rsidP="00E70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DBF">
        <w:rPr>
          <w:rFonts w:ascii="Times New Roman" w:eastAsia="Times New Roman" w:hAnsi="Times New Roman" w:cs="Times New Roman"/>
          <w:sz w:val="24"/>
          <w:szCs w:val="24"/>
        </w:rPr>
        <w:t xml:space="preserve">In order to ensure proper care for the children with communication disorders, studying in normal schools, a mainstream school adoption programme was initiated and </w:t>
      </w:r>
      <w:r w:rsidR="00730E69" w:rsidRPr="00E70DB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DBF">
        <w:rPr>
          <w:rFonts w:ascii="Times New Roman" w:eastAsia="Times New Roman" w:hAnsi="Times New Roman" w:cs="Times New Roman"/>
          <w:sz w:val="24"/>
          <w:szCs w:val="24"/>
        </w:rPr>
        <w:t xml:space="preserve"> schools were adopted and </w:t>
      </w:r>
      <w:r w:rsidR="00730E69" w:rsidRPr="00E70DBF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E70DBF">
        <w:rPr>
          <w:rFonts w:ascii="Times New Roman" w:eastAsia="Times New Roman" w:hAnsi="Times New Roman" w:cs="Times New Roman"/>
          <w:sz w:val="24"/>
          <w:szCs w:val="24"/>
        </w:rPr>
        <w:t xml:space="preserve"> teachers in these schools were oriented on identification of special needs in children, curricular adaptation and management of their special educational needs in the inclusive learning environments.</w:t>
      </w:r>
    </w:p>
    <w:p w:rsidR="004D28F2" w:rsidRPr="00E70DBF" w:rsidRDefault="004D28F2" w:rsidP="00E70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344" w:rsidRPr="00E70DBF" w:rsidRDefault="00D44264" w:rsidP="002C1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0DBF">
        <w:rPr>
          <w:rFonts w:ascii="Times New Roman" w:hAnsi="Times New Roman" w:cs="Times New Roman"/>
          <w:b/>
          <w:sz w:val="24"/>
          <w:szCs w:val="24"/>
        </w:rPr>
        <w:t>Itinerant Service</w:t>
      </w:r>
    </w:p>
    <w:p w:rsidR="005D1526" w:rsidRPr="00E70DBF" w:rsidRDefault="00B11C1A" w:rsidP="00E70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BF">
        <w:rPr>
          <w:rFonts w:ascii="Times New Roman" w:hAnsi="Times New Roman" w:cs="Times New Roman"/>
          <w:sz w:val="24"/>
          <w:szCs w:val="24"/>
        </w:rPr>
        <w:t>The Institute offer</w:t>
      </w:r>
      <w:r w:rsidR="00945C95" w:rsidRPr="00E70DBF">
        <w:rPr>
          <w:rFonts w:ascii="Times New Roman" w:hAnsi="Times New Roman" w:cs="Times New Roman"/>
          <w:sz w:val="24"/>
          <w:szCs w:val="24"/>
        </w:rPr>
        <w:t xml:space="preserve">ed </w:t>
      </w:r>
      <w:r w:rsidRPr="00E70DBF">
        <w:rPr>
          <w:rFonts w:ascii="Times New Roman" w:hAnsi="Times New Roman" w:cs="Times New Roman"/>
          <w:sz w:val="24"/>
          <w:szCs w:val="24"/>
        </w:rPr>
        <w:t xml:space="preserve">itinerant service </w:t>
      </w:r>
      <w:r w:rsidR="00945C95" w:rsidRPr="00E70DBF">
        <w:rPr>
          <w:rFonts w:ascii="Times New Roman" w:hAnsi="Times New Roman" w:cs="Times New Roman"/>
          <w:sz w:val="24"/>
          <w:szCs w:val="24"/>
        </w:rPr>
        <w:t xml:space="preserve">on prevention and control of communication disorders </w:t>
      </w:r>
      <w:r w:rsidRPr="00E70DBF">
        <w:rPr>
          <w:rFonts w:ascii="Times New Roman" w:hAnsi="Times New Roman" w:cs="Times New Roman"/>
          <w:sz w:val="24"/>
          <w:szCs w:val="24"/>
        </w:rPr>
        <w:t xml:space="preserve">for the </w:t>
      </w:r>
      <w:r w:rsidR="00FA52BF" w:rsidRPr="00E70DBF">
        <w:rPr>
          <w:rFonts w:ascii="Times New Roman" w:hAnsi="Times New Roman" w:cs="Times New Roman"/>
          <w:sz w:val="24"/>
          <w:szCs w:val="24"/>
        </w:rPr>
        <w:t xml:space="preserve">regular </w:t>
      </w:r>
      <w:r w:rsidRPr="00E70DBF">
        <w:rPr>
          <w:rFonts w:ascii="Times New Roman" w:hAnsi="Times New Roman" w:cs="Times New Roman"/>
          <w:sz w:val="24"/>
          <w:szCs w:val="24"/>
        </w:rPr>
        <w:t xml:space="preserve">school and </w:t>
      </w:r>
      <w:r w:rsidR="00FA52BF" w:rsidRPr="00E70DBF">
        <w:rPr>
          <w:rFonts w:ascii="Times New Roman" w:hAnsi="Times New Roman" w:cs="Times New Roman"/>
          <w:sz w:val="24"/>
          <w:szCs w:val="24"/>
        </w:rPr>
        <w:t>Anganwaadi</w:t>
      </w:r>
      <w:r w:rsidRPr="00E70DBF">
        <w:rPr>
          <w:rFonts w:ascii="Times New Roman" w:hAnsi="Times New Roman" w:cs="Times New Roman"/>
          <w:sz w:val="24"/>
          <w:szCs w:val="24"/>
        </w:rPr>
        <w:t xml:space="preserve"> children through the Itinerant Speech Therapist and Medical Social Worker. </w:t>
      </w:r>
      <w:r w:rsidR="00945C95" w:rsidRPr="00E70DBF">
        <w:rPr>
          <w:rFonts w:ascii="Times New Roman" w:hAnsi="Times New Roman" w:cs="Times New Roman"/>
          <w:sz w:val="24"/>
          <w:szCs w:val="24"/>
        </w:rPr>
        <w:t>T</w:t>
      </w:r>
      <w:r w:rsidR="005D1526" w:rsidRPr="00E70DBF">
        <w:rPr>
          <w:rFonts w:ascii="Times New Roman" w:hAnsi="Times New Roman" w:cs="Times New Roman"/>
          <w:sz w:val="24"/>
          <w:szCs w:val="24"/>
        </w:rPr>
        <w:t xml:space="preserve">he service was provided at 32 schools and 22 </w:t>
      </w:r>
      <w:r w:rsidR="00B90F8E">
        <w:rPr>
          <w:rFonts w:ascii="Times New Roman" w:hAnsi="Times New Roman" w:cs="Times New Roman"/>
          <w:sz w:val="24"/>
          <w:szCs w:val="24"/>
        </w:rPr>
        <w:t>A</w:t>
      </w:r>
      <w:r w:rsidR="005D1526" w:rsidRPr="00E70DBF">
        <w:rPr>
          <w:rFonts w:ascii="Times New Roman" w:hAnsi="Times New Roman" w:cs="Times New Roman"/>
          <w:sz w:val="24"/>
          <w:szCs w:val="24"/>
        </w:rPr>
        <w:t>nganwa</w:t>
      </w:r>
      <w:r w:rsidR="00357D86" w:rsidRPr="00E70DBF">
        <w:rPr>
          <w:rFonts w:ascii="Times New Roman" w:hAnsi="Times New Roman" w:cs="Times New Roman"/>
          <w:sz w:val="24"/>
          <w:szCs w:val="24"/>
        </w:rPr>
        <w:t>a</w:t>
      </w:r>
      <w:r w:rsidR="005D1526" w:rsidRPr="00E70DBF">
        <w:rPr>
          <w:rFonts w:ascii="Times New Roman" w:hAnsi="Times New Roman" w:cs="Times New Roman"/>
          <w:sz w:val="24"/>
          <w:szCs w:val="24"/>
        </w:rPr>
        <w:t xml:space="preserve">dis in Mysore district </w:t>
      </w:r>
      <w:r w:rsidR="00FA52BF" w:rsidRPr="00E70DBF">
        <w:rPr>
          <w:rFonts w:ascii="Times New Roman" w:hAnsi="Times New Roman" w:cs="Times New Roman"/>
          <w:sz w:val="24"/>
          <w:szCs w:val="24"/>
        </w:rPr>
        <w:t xml:space="preserve">and </w:t>
      </w:r>
      <w:r w:rsidR="001E0D1E" w:rsidRPr="00E70DBF">
        <w:rPr>
          <w:rFonts w:ascii="Times New Roman" w:hAnsi="Times New Roman" w:cs="Times New Roman"/>
          <w:sz w:val="24"/>
          <w:szCs w:val="24"/>
        </w:rPr>
        <w:t xml:space="preserve">129 children identified with various types communication disorders were </w:t>
      </w:r>
      <w:r w:rsidR="00FA52BF" w:rsidRPr="00E70DBF">
        <w:rPr>
          <w:rFonts w:ascii="Times New Roman" w:hAnsi="Times New Roman" w:cs="Times New Roman"/>
          <w:sz w:val="24"/>
          <w:szCs w:val="24"/>
        </w:rPr>
        <w:t>referred</w:t>
      </w:r>
      <w:r w:rsidR="001E0D1E" w:rsidRPr="00E70DBF">
        <w:rPr>
          <w:rFonts w:ascii="Times New Roman" w:hAnsi="Times New Roman" w:cs="Times New Roman"/>
          <w:sz w:val="24"/>
          <w:szCs w:val="24"/>
        </w:rPr>
        <w:t xml:space="preserve"> to AIISH </w:t>
      </w:r>
      <w:r w:rsidR="00FA52BF" w:rsidRPr="00E70DBF">
        <w:rPr>
          <w:rFonts w:ascii="Times New Roman" w:hAnsi="Times New Roman" w:cs="Times New Roman"/>
          <w:sz w:val="24"/>
          <w:szCs w:val="24"/>
        </w:rPr>
        <w:t xml:space="preserve">for </w:t>
      </w:r>
      <w:r w:rsidR="001E0D1E" w:rsidRPr="00E70DBF">
        <w:rPr>
          <w:rFonts w:ascii="Times New Roman" w:hAnsi="Times New Roman" w:cs="Times New Roman"/>
          <w:sz w:val="24"/>
          <w:szCs w:val="24"/>
        </w:rPr>
        <w:t>evaluation</w:t>
      </w:r>
      <w:r w:rsidR="00357D86" w:rsidRPr="00E70DBF">
        <w:rPr>
          <w:rFonts w:ascii="Times New Roman" w:hAnsi="Times New Roman" w:cs="Times New Roman"/>
          <w:sz w:val="24"/>
          <w:szCs w:val="24"/>
        </w:rPr>
        <w:t>,</w:t>
      </w:r>
      <w:r w:rsidR="001E0D1E" w:rsidRPr="00E70DBF">
        <w:rPr>
          <w:rFonts w:ascii="Times New Roman" w:hAnsi="Times New Roman" w:cs="Times New Roman"/>
          <w:sz w:val="24"/>
          <w:szCs w:val="24"/>
        </w:rPr>
        <w:t xml:space="preserve"> and 185 teachers</w:t>
      </w:r>
      <w:r w:rsidR="008D27B8">
        <w:rPr>
          <w:rFonts w:ascii="Times New Roman" w:hAnsi="Times New Roman" w:cs="Times New Roman"/>
          <w:sz w:val="24"/>
          <w:szCs w:val="24"/>
        </w:rPr>
        <w:t>/ A</w:t>
      </w:r>
      <w:r w:rsidR="001E0D1E" w:rsidRPr="00E70DBF">
        <w:rPr>
          <w:rFonts w:ascii="Times New Roman" w:hAnsi="Times New Roman" w:cs="Times New Roman"/>
          <w:sz w:val="24"/>
          <w:szCs w:val="24"/>
        </w:rPr>
        <w:t xml:space="preserve">nganwaadi workers were </w:t>
      </w:r>
      <w:r w:rsidR="00606599" w:rsidRPr="00E70DBF">
        <w:rPr>
          <w:rFonts w:ascii="Times New Roman" w:hAnsi="Times New Roman" w:cs="Times New Roman"/>
          <w:sz w:val="24"/>
          <w:szCs w:val="24"/>
        </w:rPr>
        <w:t>oriented on prevention and control of communication disorders</w:t>
      </w:r>
      <w:r w:rsidR="00945C95" w:rsidRPr="00E70DBF">
        <w:rPr>
          <w:rFonts w:ascii="Times New Roman" w:hAnsi="Times New Roman" w:cs="Times New Roman"/>
          <w:sz w:val="24"/>
          <w:szCs w:val="24"/>
        </w:rPr>
        <w:t xml:space="preserve"> during the reporting year</w:t>
      </w:r>
      <w:r w:rsidR="00606599" w:rsidRPr="00E70DBF">
        <w:rPr>
          <w:rFonts w:ascii="Times New Roman" w:hAnsi="Times New Roman" w:cs="Times New Roman"/>
          <w:sz w:val="24"/>
          <w:szCs w:val="24"/>
        </w:rPr>
        <w:t xml:space="preserve">. </w:t>
      </w:r>
      <w:r w:rsidR="00A41527" w:rsidRPr="00E70DBF">
        <w:rPr>
          <w:rFonts w:ascii="Times New Roman" w:hAnsi="Times New Roman" w:cs="Times New Roman"/>
          <w:sz w:val="24"/>
          <w:szCs w:val="24"/>
        </w:rPr>
        <w:t xml:space="preserve">In addition, follow-up of </w:t>
      </w:r>
      <w:r w:rsidR="00945C95" w:rsidRPr="00E70DBF">
        <w:rPr>
          <w:rFonts w:ascii="Times New Roman" w:hAnsi="Times New Roman" w:cs="Times New Roman"/>
          <w:sz w:val="24"/>
          <w:szCs w:val="24"/>
        </w:rPr>
        <w:t xml:space="preserve">77 </w:t>
      </w:r>
      <w:r w:rsidR="00A41527" w:rsidRPr="00E70DBF">
        <w:rPr>
          <w:rFonts w:ascii="Times New Roman" w:hAnsi="Times New Roman" w:cs="Times New Roman"/>
          <w:sz w:val="24"/>
          <w:szCs w:val="24"/>
        </w:rPr>
        <w:t xml:space="preserve">regular school children </w:t>
      </w:r>
      <w:r w:rsidR="009D0300" w:rsidRPr="00E70DBF">
        <w:rPr>
          <w:rFonts w:ascii="Times New Roman" w:hAnsi="Times New Roman" w:cs="Times New Roman"/>
          <w:sz w:val="24"/>
          <w:szCs w:val="24"/>
        </w:rPr>
        <w:t xml:space="preserve">availing therapy at AIISH were carried out, 61 teachers and 13 parents oriented and 54 parents counseled on school placement. </w:t>
      </w:r>
      <w:bookmarkStart w:id="1" w:name="_GoBack"/>
      <w:bookmarkEnd w:id="1"/>
    </w:p>
    <w:sectPr w:rsidR="005D1526" w:rsidRPr="00E70DBF" w:rsidSect="00DF35A8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DF" w:rsidRDefault="00AD1EDF" w:rsidP="00CC36EB">
      <w:pPr>
        <w:spacing w:after="0" w:line="240" w:lineRule="auto"/>
      </w:pPr>
      <w:r>
        <w:separator/>
      </w:r>
    </w:p>
  </w:endnote>
  <w:endnote w:type="continuationSeparator" w:id="1">
    <w:p w:rsidR="00AD1EDF" w:rsidRDefault="00AD1EDF" w:rsidP="00CC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09" w:rsidRDefault="003136AF" w:rsidP="00756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6D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75D" w:rsidRPr="00652E31" w:rsidRDefault="008F575D" w:rsidP="00756D09">
    <w:pPr>
      <w:pStyle w:val="Footer"/>
      <w:ind w:right="360"/>
      <w:jc w:val="center"/>
      <w:rPr>
        <w:rFonts w:ascii="Book Antiqua" w:hAnsi="Book Antiqua"/>
        <w:sz w:val="24"/>
        <w:szCs w:val="24"/>
      </w:rPr>
    </w:pPr>
  </w:p>
  <w:p w:rsidR="008F575D" w:rsidRDefault="008F57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655269"/>
      <w:docPartObj>
        <w:docPartGallery w:val="Page Numbers (Bottom of Page)"/>
        <w:docPartUnique/>
      </w:docPartObj>
    </w:sdtPr>
    <w:sdtContent>
      <w:p w:rsidR="00756D09" w:rsidRDefault="003136AF">
        <w:pPr>
          <w:pStyle w:val="Footer"/>
          <w:jc w:val="center"/>
        </w:pPr>
        <w:fldSimple w:instr=" PAGE   \* MERGEFORMAT ">
          <w:r w:rsidR="00FE2D81">
            <w:rPr>
              <w:noProof/>
            </w:rPr>
            <w:t>142</w:t>
          </w:r>
        </w:fldSimple>
      </w:p>
    </w:sdtContent>
  </w:sdt>
  <w:p w:rsidR="00756D09" w:rsidRPr="00756D09" w:rsidRDefault="00756D09" w:rsidP="00756D09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DF" w:rsidRDefault="00AD1EDF" w:rsidP="00CC36EB">
      <w:pPr>
        <w:spacing w:after="0" w:line="240" w:lineRule="auto"/>
      </w:pPr>
      <w:r>
        <w:separator/>
      </w:r>
    </w:p>
  </w:footnote>
  <w:footnote w:type="continuationSeparator" w:id="1">
    <w:p w:rsidR="00AD1EDF" w:rsidRDefault="00AD1EDF" w:rsidP="00CC3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50D"/>
    <w:multiLevelType w:val="hybridMultilevel"/>
    <w:tmpl w:val="9D7056F4"/>
    <w:lvl w:ilvl="0" w:tplc="585405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15" w:hanging="360"/>
      </w:pPr>
    </w:lvl>
    <w:lvl w:ilvl="2" w:tplc="4009001B" w:tentative="1">
      <w:start w:val="1"/>
      <w:numFmt w:val="lowerRoman"/>
      <w:lvlText w:val="%3."/>
      <w:lvlJc w:val="right"/>
      <w:pPr>
        <w:ind w:left="1735" w:hanging="180"/>
      </w:pPr>
    </w:lvl>
    <w:lvl w:ilvl="3" w:tplc="4009000F" w:tentative="1">
      <w:start w:val="1"/>
      <w:numFmt w:val="decimal"/>
      <w:lvlText w:val="%4."/>
      <w:lvlJc w:val="left"/>
      <w:pPr>
        <w:ind w:left="2455" w:hanging="360"/>
      </w:pPr>
    </w:lvl>
    <w:lvl w:ilvl="4" w:tplc="40090019" w:tentative="1">
      <w:start w:val="1"/>
      <w:numFmt w:val="lowerLetter"/>
      <w:lvlText w:val="%5."/>
      <w:lvlJc w:val="left"/>
      <w:pPr>
        <w:ind w:left="3175" w:hanging="360"/>
      </w:pPr>
    </w:lvl>
    <w:lvl w:ilvl="5" w:tplc="4009001B" w:tentative="1">
      <w:start w:val="1"/>
      <w:numFmt w:val="lowerRoman"/>
      <w:lvlText w:val="%6."/>
      <w:lvlJc w:val="right"/>
      <w:pPr>
        <w:ind w:left="3895" w:hanging="180"/>
      </w:pPr>
    </w:lvl>
    <w:lvl w:ilvl="6" w:tplc="4009000F" w:tentative="1">
      <w:start w:val="1"/>
      <w:numFmt w:val="decimal"/>
      <w:lvlText w:val="%7."/>
      <w:lvlJc w:val="left"/>
      <w:pPr>
        <w:ind w:left="4615" w:hanging="360"/>
      </w:pPr>
    </w:lvl>
    <w:lvl w:ilvl="7" w:tplc="40090019" w:tentative="1">
      <w:start w:val="1"/>
      <w:numFmt w:val="lowerLetter"/>
      <w:lvlText w:val="%8."/>
      <w:lvlJc w:val="left"/>
      <w:pPr>
        <w:ind w:left="5335" w:hanging="360"/>
      </w:pPr>
    </w:lvl>
    <w:lvl w:ilvl="8" w:tplc="40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736710F6"/>
    <w:multiLevelType w:val="multilevel"/>
    <w:tmpl w:val="736710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2"/>
      <w:numFmt w:val="lowerRoman"/>
      <w:lvlText w:val="%6)"/>
      <w:lvlJc w:val="left"/>
      <w:pPr>
        <w:ind w:left="4860" w:hanging="720"/>
      </w:pPr>
      <w:rPr>
        <w:rFonts w:eastAsia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C0A74"/>
    <w:multiLevelType w:val="hybridMultilevel"/>
    <w:tmpl w:val="C6BEF1DC"/>
    <w:lvl w:ilvl="0" w:tplc="30687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7E4"/>
    <w:rsid w:val="00006197"/>
    <w:rsid w:val="000112C1"/>
    <w:rsid w:val="0001186D"/>
    <w:rsid w:val="00013220"/>
    <w:rsid w:val="00030949"/>
    <w:rsid w:val="00044CB7"/>
    <w:rsid w:val="00065E6B"/>
    <w:rsid w:val="0008426C"/>
    <w:rsid w:val="00100DEA"/>
    <w:rsid w:val="00101B16"/>
    <w:rsid w:val="00133E5C"/>
    <w:rsid w:val="00137B6B"/>
    <w:rsid w:val="00151EE6"/>
    <w:rsid w:val="00166044"/>
    <w:rsid w:val="001A2FCB"/>
    <w:rsid w:val="001B345F"/>
    <w:rsid w:val="001D5F3F"/>
    <w:rsid w:val="001E0D1E"/>
    <w:rsid w:val="001E3D45"/>
    <w:rsid w:val="001F7C5D"/>
    <w:rsid w:val="00223F31"/>
    <w:rsid w:val="00256663"/>
    <w:rsid w:val="00257FB2"/>
    <w:rsid w:val="00297EE3"/>
    <w:rsid w:val="002B6A09"/>
    <w:rsid w:val="002C1877"/>
    <w:rsid w:val="002D7048"/>
    <w:rsid w:val="002E0949"/>
    <w:rsid w:val="002F1011"/>
    <w:rsid w:val="003136AF"/>
    <w:rsid w:val="003146B5"/>
    <w:rsid w:val="0032136E"/>
    <w:rsid w:val="00321C50"/>
    <w:rsid w:val="00322D7B"/>
    <w:rsid w:val="0034238A"/>
    <w:rsid w:val="00357D86"/>
    <w:rsid w:val="00360F03"/>
    <w:rsid w:val="00361D06"/>
    <w:rsid w:val="00365F6D"/>
    <w:rsid w:val="003728E4"/>
    <w:rsid w:val="003847A5"/>
    <w:rsid w:val="00392D8B"/>
    <w:rsid w:val="003C05C0"/>
    <w:rsid w:val="003E4B41"/>
    <w:rsid w:val="00401161"/>
    <w:rsid w:val="0041243B"/>
    <w:rsid w:val="0043720D"/>
    <w:rsid w:val="00440B89"/>
    <w:rsid w:val="00445037"/>
    <w:rsid w:val="004578AE"/>
    <w:rsid w:val="00473639"/>
    <w:rsid w:val="00477EA6"/>
    <w:rsid w:val="00483897"/>
    <w:rsid w:val="004A0D7D"/>
    <w:rsid w:val="004C5020"/>
    <w:rsid w:val="004C75F3"/>
    <w:rsid w:val="004D0E24"/>
    <w:rsid w:val="004D28F2"/>
    <w:rsid w:val="004D43DE"/>
    <w:rsid w:val="0052511C"/>
    <w:rsid w:val="00526A54"/>
    <w:rsid w:val="00531279"/>
    <w:rsid w:val="00544D2D"/>
    <w:rsid w:val="005471CA"/>
    <w:rsid w:val="00566BE3"/>
    <w:rsid w:val="0057701E"/>
    <w:rsid w:val="00597794"/>
    <w:rsid w:val="005B2907"/>
    <w:rsid w:val="005D1526"/>
    <w:rsid w:val="005E1002"/>
    <w:rsid w:val="005F5018"/>
    <w:rsid w:val="00606599"/>
    <w:rsid w:val="00615A77"/>
    <w:rsid w:val="006222F2"/>
    <w:rsid w:val="00646D84"/>
    <w:rsid w:val="00660367"/>
    <w:rsid w:val="00662187"/>
    <w:rsid w:val="00663381"/>
    <w:rsid w:val="006652FA"/>
    <w:rsid w:val="0067037E"/>
    <w:rsid w:val="00674ED2"/>
    <w:rsid w:val="00686E8C"/>
    <w:rsid w:val="0069463D"/>
    <w:rsid w:val="006B6D87"/>
    <w:rsid w:val="006C1B95"/>
    <w:rsid w:val="006C389D"/>
    <w:rsid w:val="00703274"/>
    <w:rsid w:val="00704DB0"/>
    <w:rsid w:val="007308CB"/>
    <w:rsid w:val="00730E69"/>
    <w:rsid w:val="00733BF7"/>
    <w:rsid w:val="00746C9B"/>
    <w:rsid w:val="00756D09"/>
    <w:rsid w:val="00760BB5"/>
    <w:rsid w:val="00772684"/>
    <w:rsid w:val="007868F6"/>
    <w:rsid w:val="00787649"/>
    <w:rsid w:val="0079269F"/>
    <w:rsid w:val="007A0344"/>
    <w:rsid w:val="007A379A"/>
    <w:rsid w:val="007B05E2"/>
    <w:rsid w:val="007B0EFC"/>
    <w:rsid w:val="007B609F"/>
    <w:rsid w:val="00801D0F"/>
    <w:rsid w:val="008115DA"/>
    <w:rsid w:val="00836AD3"/>
    <w:rsid w:val="008401B0"/>
    <w:rsid w:val="008477BB"/>
    <w:rsid w:val="0085256A"/>
    <w:rsid w:val="008711F3"/>
    <w:rsid w:val="00882C90"/>
    <w:rsid w:val="008D27B8"/>
    <w:rsid w:val="008F575D"/>
    <w:rsid w:val="008F6B59"/>
    <w:rsid w:val="009242B1"/>
    <w:rsid w:val="0093759E"/>
    <w:rsid w:val="00941F31"/>
    <w:rsid w:val="00945C95"/>
    <w:rsid w:val="00960219"/>
    <w:rsid w:val="009649F4"/>
    <w:rsid w:val="009C57E4"/>
    <w:rsid w:val="009D0300"/>
    <w:rsid w:val="009D372B"/>
    <w:rsid w:val="00A261CC"/>
    <w:rsid w:val="00A3538A"/>
    <w:rsid w:val="00A41527"/>
    <w:rsid w:val="00A56875"/>
    <w:rsid w:val="00AB506C"/>
    <w:rsid w:val="00AC7E8C"/>
    <w:rsid w:val="00AD1EDF"/>
    <w:rsid w:val="00AF3BB5"/>
    <w:rsid w:val="00B053A4"/>
    <w:rsid w:val="00B10DD3"/>
    <w:rsid w:val="00B11C1A"/>
    <w:rsid w:val="00B42CA3"/>
    <w:rsid w:val="00B90F8E"/>
    <w:rsid w:val="00BF52A8"/>
    <w:rsid w:val="00C0290A"/>
    <w:rsid w:val="00C176A9"/>
    <w:rsid w:val="00C90902"/>
    <w:rsid w:val="00C909C2"/>
    <w:rsid w:val="00CB049D"/>
    <w:rsid w:val="00CB54CE"/>
    <w:rsid w:val="00CC36EB"/>
    <w:rsid w:val="00CF7BEA"/>
    <w:rsid w:val="00D16E61"/>
    <w:rsid w:val="00D23D17"/>
    <w:rsid w:val="00D34C73"/>
    <w:rsid w:val="00D44264"/>
    <w:rsid w:val="00D67979"/>
    <w:rsid w:val="00D95609"/>
    <w:rsid w:val="00DC4C8E"/>
    <w:rsid w:val="00DF35A8"/>
    <w:rsid w:val="00E25E80"/>
    <w:rsid w:val="00E45410"/>
    <w:rsid w:val="00E70295"/>
    <w:rsid w:val="00E70DBF"/>
    <w:rsid w:val="00E74070"/>
    <w:rsid w:val="00E855E2"/>
    <w:rsid w:val="00EB5769"/>
    <w:rsid w:val="00ED6E88"/>
    <w:rsid w:val="00EE7955"/>
    <w:rsid w:val="00F06732"/>
    <w:rsid w:val="00F22BA5"/>
    <w:rsid w:val="00F30B61"/>
    <w:rsid w:val="00F312C4"/>
    <w:rsid w:val="00F67BEB"/>
    <w:rsid w:val="00F8331F"/>
    <w:rsid w:val="00FA37A4"/>
    <w:rsid w:val="00FA52BF"/>
    <w:rsid w:val="00FB6C8F"/>
    <w:rsid w:val="00FC2698"/>
    <w:rsid w:val="00FD763F"/>
    <w:rsid w:val="00FE1CDE"/>
    <w:rsid w:val="00FE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07"/>
  </w:style>
  <w:style w:type="paragraph" w:styleId="Header">
    <w:name w:val="header"/>
    <w:basedOn w:val="Normal"/>
    <w:link w:val="HeaderChar"/>
    <w:uiPriority w:val="99"/>
    <w:semiHidden/>
    <w:unhideWhenUsed/>
    <w:rsid w:val="005B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907"/>
  </w:style>
  <w:style w:type="paragraph" w:styleId="BalloonText">
    <w:name w:val="Balloon Text"/>
    <w:basedOn w:val="Normal"/>
    <w:link w:val="BalloonTextChar"/>
    <w:uiPriority w:val="99"/>
    <w:semiHidden/>
    <w:unhideWhenUsed/>
    <w:rsid w:val="005B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49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7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F52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2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qFormat/>
    <w:rsid w:val="007308CB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E70DB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70DB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0DBF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56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907"/>
  </w:style>
  <w:style w:type="paragraph" w:styleId="Header">
    <w:name w:val="header"/>
    <w:basedOn w:val="Normal"/>
    <w:link w:val="HeaderChar"/>
    <w:uiPriority w:val="99"/>
    <w:semiHidden/>
    <w:unhideWhenUsed/>
    <w:rsid w:val="005B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907"/>
  </w:style>
  <w:style w:type="paragraph" w:styleId="BalloonText">
    <w:name w:val="Balloon Text"/>
    <w:basedOn w:val="Normal"/>
    <w:link w:val="BalloonTextChar"/>
    <w:uiPriority w:val="99"/>
    <w:semiHidden/>
    <w:unhideWhenUsed/>
    <w:rsid w:val="005B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49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7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F52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2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qFormat/>
    <w:rsid w:val="00730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AnnualReport-2014-15\Report\2Draft\graphs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AnnualReport-2014-15\Report\2Draft\graphs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AnnualReport-2014-15\Report\2Draft\graphs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27"/>
  <c:chart>
    <c:plotArea>
      <c:layout>
        <c:manualLayout>
          <c:layoutTarget val="inner"/>
          <c:xMode val="edge"/>
          <c:yMode val="edge"/>
          <c:x val="0.26805555555555555"/>
          <c:y val="0.11342592592592604"/>
          <c:w val="0.55833333333333335"/>
          <c:h val="0.88657407407407463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Val val="1"/>
            <c:showCatName val="1"/>
            <c:showLeaderLines val="1"/>
          </c:dLbls>
          <c:cat>
            <c:strRef>
              <c:f>'Figure 17,18'!$J$10:$J$14</c:f>
              <c:strCache>
                <c:ptCount val="5"/>
                <c:pt idx="0">
                  <c:v>Newborn /infant screening</c:v>
                </c:pt>
                <c:pt idx="1">
                  <c:v>Industrial screening </c:v>
                </c:pt>
                <c:pt idx="2">
                  <c:v>School screening</c:v>
                </c:pt>
                <c:pt idx="3">
                  <c:v>Elderly citizens </c:v>
                </c:pt>
                <c:pt idx="4">
                  <c:v>Camp screening</c:v>
                </c:pt>
              </c:strCache>
            </c:strRef>
          </c:cat>
          <c:val>
            <c:numRef>
              <c:f>'Figure 17,18'!$K$10:$K$14</c:f>
              <c:numCache>
                <c:formatCode>General</c:formatCode>
                <c:ptCount val="5"/>
                <c:pt idx="0">
                  <c:v>26334</c:v>
                </c:pt>
                <c:pt idx="1">
                  <c:v>119</c:v>
                </c:pt>
                <c:pt idx="2">
                  <c:v>5247</c:v>
                </c:pt>
                <c:pt idx="3">
                  <c:v>170</c:v>
                </c:pt>
                <c:pt idx="4">
                  <c:v>1812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6"/>
  <c:chart>
    <c:view3D>
      <c:rAngAx val="1"/>
    </c:view3D>
    <c:sideWall>
      <c:spPr>
        <a:solidFill>
          <a:schemeClr val="accent2">
            <a:lumMod val="40000"/>
            <a:lumOff val="60000"/>
          </a:schemeClr>
        </a:solidFill>
        <a:ln>
          <a:noFill/>
        </a:ln>
      </c:spPr>
    </c:sideWall>
    <c:backWall>
      <c:spPr>
        <a:solidFill>
          <a:schemeClr val="accent2">
            <a:lumMod val="40000"/>
            <a:lumOff val="60000"/>
          </a:schemeClr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7.7839623546405154E-2"/>
          <c:y val="3.5079051137565181E-2"/>
          <c:w val="0.89116989660906465"/>
          <c:h val="0.81062905051560641"/>
        </c:manualLayout>
      </c:layout>
      <c:bar3DChart>
        <c:barDir val="col"/>
        <c:grouping val="clustered"/>
        <c:ser>
          <c:idx val="0"/>
          <c:order val="0"/>
          <c:tx>
            <c:strRef>
              <c:f>'Figure 17,18'!$J$23</c:f>
              <c:strCache>
                <c:ptCount val="1"/>
                <c:pt idx="0">
                  <c:v>Cases</c:v>
                </c:pt>
              </c:strCache>
            </c:strRef>
          </c:tx>
          <c:dLbls>
            <c:showVal val="1"/>
          </c:dLbls>
          <c:cat>
            <c:strRef>
              <c:f>'Figure 17,18'!$K$22:$O$22</c:f>
              <c:strCache>
                <c:ptCount val="5"/>
                <c:pt idx="0">
                  <c:v>Phonological / Articulation disorder</c:v>
                </c:pt>
                <c:pt idx="1">
                  <c:v>Fluency disorder</c:v>
                </c:pt>
                <c:pt idx="2">
                  <c:v>Voice Disorder</c:v>
                </c:pt>
                <c:pt idx="3">
                  <c:v>Language disorder</c:v>
                </c:pt>
                <c:pt idx="4">
                  <c:v>Multiple disorder</c:v>
                </c:pt>
              </c:strCache>
            </c:strRef>
          </c:cat>
          <c:val>
            <c:numRef>
              <c:f>'Figure 17,18'!$K$23:$O$23</c:f>
              <c:numCache>
                <c:formatCode>General</c:formatCode>
                <c:ptCount val="5"/>
                <c:pt idx="0">
                  <c:v>6</c:v>
                </c:pt>
                <c:pt idx="1">
                  <c:v>22</c:v>
                </c:pt>
                <c:pt idx="2">
                  <c:v>7</c:v>
                </c:pt>
                <c:pt idx="3">
                  <c:v>49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'Figure 17,18'!$J$24</c:f>
              <c:strCache>
                <c:ptCount val="1"/>
                <c:pt idx="0">
                  <c:v>Sessions</c:v>
                </c:pt>
              </c:strCache>
            </c:strRef>
          </c:tx>
          <c:dLbls>
            <c:showVal val="1"/>
          </c:dLbls>
          <c:cat>
            <c:strRef>
              <c:f>'Figure 17,18'!$K$22:$O$22</c:f>
              <c:strCache>
                <c:ptCount val="5"/>
                <c:pt idx="0">
                  <c:v>Phonological / Articulation disorder</c:v>
                </c:pt>
                <c:pt idx="1">
                  <c:v>Fluency disorder</c:v>
                </c:pt>
                <c:pt idx="2">
                  <c:v>Voice Disorder</c:v>
                </c:pt>
                <c:pt idx="3">
                  <c:v>Language disorder</c:v>
                </c:pt>
                <c:pt idx="4">
                  <c:v>Multiple disorder</c:v>
                </c:pt>
              </c:strCache>
            </c:strRef>
          </c:cat>
          <c:val>
            <c:numRef>
              <c:f>'Figure 17,18'!$K$24:$O$24</c:f>
              <c:numCache>
                <c:formatCode>General</c:formatCode>
                <c:ptCount val="5"/>
                <c:pt idx="0">
                  <c:v>11</c:v>
                </c:pt>
                <c:pt idx="1">
                  <c:v>33</c:v>
                </c:pt>
                <c:pt idx="2">
                  <c:v>9</c:v>
                </c:pt>
                <c:pt idx="3">
                  <c:v>56</c:v>
                </c:pt>
                <c:pt idx="4">
                  <c:v>7</c:v>
                </c:pt>
              </c:numCache>
            </c:numRef>
          </c:val>
        </c:ser>
        <c:shape val="cone"/>
        <c:axId val="136551808"/>
        <c:axId val="136675712"/>
        <c:axId val="0"/>
      </c:bar3DChart>
      <c:catAx>
        <c:axId val="1365518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36675712"/>
        <c:crosses val="autoZero"/>
        <c:auto val="1"/>
        <c:lblAlgn val="ctr"/>
        <c:lblOffset val="100"/>
      </c:catAx>
      <c:valAx>
        <c:axId val="136675712"/>
        <c:scaling>
          <c:orientation val="minMax"/>
        </c:scaling>
        <c:axPos val="l"/>
        <c:numFmt formatCode="General" sourceLinked="1"/>
        <c:tickLblPos val="nextTo"/>
        <c:crossAx val="13655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66271760096253"/>
          <c:y val="0.15218668756452841"/>
          <c:w val="0.13079856137723489"/>
          <c:h val="0.11426801507631452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8"/>
  <c:chart>
    <c:view3D>
      <c:rAngAx val="1"/>
    </c:view3D>
    <c:plotArea>
      <c:layout>
        <c:manualLayout>
          <c:layoutTarget val="inner"/>
          <c:xMode val="edge"/>
          <c:yMode val="edge"/>
          <c:x val="9.3138652943972777E-2"/>
          <c:y val="4.4588432470037714E-2"/>
          <c:w val="0.87245313823960979"/>
          <c:h val="0.81587105984690877"/>
        </c:manualLayout>
      </c:layout>
      <c:bar3DChart>
        <c:barDir val="col"/>
        <c:grouping val="clustered"/>
        <c:ser>
          <c:idx val="0"/>
          <c:order val="0"/>
          <c:tx>
            <c:strRef>
              <c:f>'Figure 17,18'!$J$30</c:f>
              <c:strCache>
                <c:ptCount val="1"/>
                <c:pt idx="0">
                  <c:v>Cases</c:v>
                </c:pt>
              </c:strCache>
            </c:strRef>
          </c:tx>
          <c:cat>
            <c:strRef>
              <c:f>'Figure 17,18'!$K$29:$N$29</c:f>
              <c:strCache>
                <c:ptCount val="4"/>
                <c:pt idx="0">
                  <c:v>Fluency disorder</c:v>
                </c:pt>
                <c:pt idx="1">
                  <c:v>Voice Disorder</c:v>
                </c:pt>
                <c:pt idx="2">
                  <c:v>Language disorder</c:v>
                </c:pt>
                <c:pt idx="3">
                  <c:v>Multiple disorder</c:v>
                </c:pt>
              </c:strCache>
            </c:strRef>
          </c:cat>
          <c:val>
            <c:numRef>
              <c:f>'Figure 17,18'!$K$30:$N$30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27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'Figure 17,18'!$J$31</c:f>
              <c:strCache>
                <c:ptCount val="1"/>
                <c:pt idx="0">
                  <c:v>Sessions</c:v>
                </c:pt>
              </c:strCache>
            </c:strRef>
          </c:tx>
          <c:dLbls>
            <c:showVal val="1"/>
          </c:dLbls>
          <c:cat>
            <c:strRef>
              <c:f>'Figure 17,18'!$K$29:$N$29</c:f>
              <c:strCache>
                <c:ptCount val="4"/>
                <c:pt idx="0">
                  <c:v>Fluency disorder</c:v>
                </c:pt>
                <c:pt idx="1">
                  <c:v>Voice Disorder</c:v>
                </c:pt>
                <c:pt idx="2">
                  <c:v>Language disorder</c:v>
                </c:pt>
                <c:pt idx="3">
                  <c:v>Multiple disorder</c:v>
                </c:pt>
              </c:strCache>
            </c:strRef>
          </c:cat>
          <c:val>
            <c:numRef>
              <c:f>'Figure 17,18'!$K$31:$N$31</c:f>
              <c:numCache>
                <c:formatCode>General</c:formatCode>
                <c:ptCount val="4"/>
                <c:pt idx="0">
                  <c:v>36</c:v>
                </c:pt>
                <c:pt idx="1">
                  <c:v>16</c:v>
                </c:pt>
                <c:pt idx="2">
                  <c:v>436</c:v>
                </c:pt>
                <c:pt idx="3">
                  <c:v>44</c:v>
                </c:pt>
              </c:numCache>
            </c:numRef>
          </c:val>
        </c:ser>
        <c:shape val="cone"/>
        <c:axId val="133795840"/>
        <c:axId val="133797376"/>
        <c:axId val="0"/>
      </c:bar3DChart>
      <c:catAx>
        <c:axId val="1337958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33797376"/>
        <c:crosses val="autoZero"/>
        <c:auto val="1"/>
        <c:lblAlgn val="ctr"/>
        <c:lblOffset val="100"/>
      </c:catAx>
      <c:valAx>
        <c:axId val="133797376"/>
        <c:scaling>
          <c:orientation val="minMax"/>
        </c:scaling>
        <c:axPos val="l"/>
        <c:numFmt formatCode="General" sourceLinked="1"/>
        <c:tickLblPos val="nextTo"/>
        <c:crossAx val="13379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87000640668132"/>
          <c:y val="0.13018910286816571"/>
          <c:w val="0.13414574162481657"/>
          <c:h val="0.14524428422350821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Dr. Shijith Kumar C</cp:lastModifiedBy>
  <cp:revision>43</cp:revision>
  <cp:lastPrinted>2015-05-29T11:07:00Z</cp:lastPrinted>
  <dcterms:created xsi:type="dcterms:W3CDTF">2015-05-28T18:20:00Z</dcterms:created>
  <dcterms:modified xsi:type="dcterms:W3CDTF">2015-06-09T06:38:00Z</dcterms:modified>
</cp:coreProperties>
</file>