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7A6C" w14:textId="0882BA1E" w:rsidR="006254F5" w:rsidRDefault="00260A11" w:rsidP="00260A11">
      <w:pPr>
        <w:jc w:val="both"/>
      </w:pPr>
      <w:r w:rsidRPr="00862981">
        <w:rPr>
          <w:rFonts w:ascii="Times New Roman" w:hAnsi="Times New Roman" w:cs="Times New Roman"/>
          <w:b/>
          <w:bCs/>
          <w:sz w:val="24"/>
          <w:szCs w:val="24"/>
        </w:rPr>
        <w:t>Staff Strength:</w:t>
      </w:r>
      <w:r w:rsidRPr="00862981">
        <w:rPr>
          <w:rFonts w:ascii="Times New Roman" w:hAnsi="Times New Roman" w:cs="Times New Roman"/>
          <w:sz w:val="24"/>
          <w:szCs w:val="24"/>
        </w:rPr>
        <w:t xml:space="preserve">  Six non-teaching staff were appointed on regular basis during the reporting year.  With this, the regular staff strength of the Institute reached 173, which includes 46 Group A, 65 group B, 47 Group C and 15 </w:t>
      </w:r>
      <w:proofErr w:type="spellStart"/>
      <w:r w:rsidRPr="00862981">
        <w:rPr>
          <w:rFonts w:ascii="Times New Roman" w:hAnsi="Times New Roman" w:cs="Times New Roman"/>
          <w:sz w:val="24"/>
          <w:szCs w:val="24"/>
        </w:rPr>
        <w:t>Multi tasking</w:t>
      </w:r>
      <w:proofErr w:type="spellEnd"/>
      <w:r w:rsidRPr="00862981">
        <w:rPr>
          <w:rFonts w:ascii="Times New Roman" w:hAnsi="Times New Roman" w:cs="Times New Roman"/>
          <w:sz w:val="24"/>
          <w:szCs w:val="24"/>
        </w:rPr>
        <w:t xml:space="preserve"> staff.  Besides 10 contract staff were engaged by the Institute for catering to the shorter man power requirement in the clinical services, Outreach departments, DHLS centers and Outreach service centers.</w:t>
      </w:r>
      <w:r>
        <w:rPr>
          <w:rFonts w:ascii="Times New Roman" w:hAnsi="Times New Roman" w:cs="Times New Roman"/>
          <w:sz w:val="24"/>
          <w:szCs w:val="24"/>
        </w:rPr>
        <w:t xml:space="preserve"> </w:t>
      </w:r>
      <w:r w:rsidRPr="00862981">
        <w:rPr>
          <w:rFonts w:ascii="Times New Roman" w:hAnsi="Times New Roman" w:cs="Times New Roman"/>
          <w:sz w:val="24"/>
          <w:szCs w:val="24"/>
        </w:rPr>
        <w:t xml:space="preserve">71 </w:t>
      </w:r>
      <w:proofErr w:type="gramStart"/>
      <w:r w:rsidRPr="00862981">
        <w:rPr>
          <w:rFonts w:ascii="Times New Roman" w:hAnsi="Times New Roman" w:cs="Times New Roman"/>
          <w:sz w:val="24"/>
          <w:szCs w:val="24"/>
        </w:rPr>
        <w:t>Post-Graduate</w:t>
      </w:r>
      <w:proofErr w:type="gramEnd"/>
      <w:r w:rsidRPr="00862981">
        <w:rPr>
          <w:rFonts w:ascii="Times New Roman" w:hAnsi="Times New Roman" w:cs="Times New Roman"/>
          <w:sz w:val="24"/>
          <w:szCs w:val="24"/>
        </w:rPr>
        <w:t xml:space="preserve"> students of the Institute served their mandatory bond period after their post-graduation.  The Institute had also engaged 14 persons for the various extramural/Intramural projects during the period under report.</w:t>
      </w:r>
      <w:r>
        <w:rPr>
          <w:rFonts w:ascii="Times New Roman" w:hAnsi="Times New Roman" w:cs="Times New Roman"/>
          <w:sz w:val="24"/>
          <w:szCs w:val="24"/>
        </w:rPr>
        <w:t xml:space="preserve"> </w:t>
      </w:r>
      <w:r>
        <w:rPr>
          <w:rFonts w:ascii="Times New Roman" w:hAnsi="Times New Roman" w:cs="Times New Roman"/>
          <w:sz w:val="24"/>
          <w:szCs w:val="24"/>
        </w:rPr>
        <w:t>Further, 15 technical staff also engaged in various DHLS/NBS/OSC centers</w:t>
      </w:r>
      <w:r>
        <w:rPr>
          <w:rFonts w:ascii="Times New Roman" w:hAnsi="Times New Roman" w:cs="Times New Roman"/>
          <w:sz w:val="24"/>
          <w:szCs w:val="24"/>
        </w:rPr>
        <w:t xml:space="preserve">. </w:t>
      </w:r>
    </w:p>
    <w:sectPr w:rsidR="006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MDYxNDIytDQwsTRQ0lEKTi0uzszPAykwrAUAr3N/TCwAAAA="/>
  </w:docVars>
  <w:rsids>
    <w:rsidRoot w:val="00260A11"/>
    <w:rsid w:val="0022472D"/>
    <w:rsid w:val="00260A11"/>
    <w:rsid w:val="004D2F13"/>
    <w:rsid w:val="006254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EE74"/>
  <w15:chartTrackingRefBased/>
  <w15:docId w15:val="{6E4E7E53-563E-4165-B8E8-35B5144E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11"/>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2021-07-30T07:23:00Z</dcterms:created>
  <dcterms:modified xsi:type="dcterms:W3CDTF">2021-07-30T08:29:00Z</dcterms:modified>
</cp:coreProperties>
</file>