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EF" w:rsidRPr="00831280" w:rsidRDefault="00123CEF" w:rsidP="00123CEF">
      <w:pPr>
        <w:jc w:val="center"/>
      </w:pPr>
      <w:r w:rsidRPr="00831280">
        <w:t>ALL INDIA INSTITUTE OF SPEECH AND HEARING</w:t>
      </w:r>
    </w:p>
    <w:p w:rsidR="00123CEF" w:rsidRPr="00831280" w:rsidRDefault="00123CEF" w:rsidP="00123CEF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123CEF" w:rsidRDefault="00123CEF" w:rsidP="00123CEF">
      <w:pPr>
        <w:jc w:val="center"/>
        <w:rPr>
          <w:b/>
          <w:bCs/>
        </w:rPr>
      </w:pPr>
    </w:p>
    <w:p w:rsidR="00123CEF" w:rsidRDefault="00123CEF" w:rsidP="00123CEF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123CEF" w:rsidRPr="00831280" w:rsidRDefault="00123CEF" w:rsidP="00123CEF">
      <w:pPr>
        <w:jc w:val="center"/>
        <w:rPr>
          <w:b/>
          <w:bCs/>
        </w:rPr>
      </w:pPr>
    </w:p>
    <w:p w:rsidR="00123CEF" w:rsidRPr="00831280" w:rsidRDefault="00123CEF" w:rsidP="00123CEF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123CEF" w:rsidRPr="006B3DE6" w:rsidRDefault="00123CEF" w:rsidP="00123C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123CEF" w:rsidRDefault="00123CEF" w:rsidP="00123C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123CEF" w:rsidRPr="006B3DE6" w:rsidRDefault="00123CEF" w:rsidP="00123CEF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23CEF" w:rsidRDefault="00123CEF" w:rsidP="00123CEF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="00AE5492">
        <w:t>at the Department of Special Education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123CEF" w:rsidRDefault="00123CEF" w:rsidP="00123CEF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AE5492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123CEF" w:rsidRPr="00831280" w:rsidRDefault="00123CEF" w:rsidP="00123CEF">
      <w:pPr>
        <w:spacing w:line="360" w:lineRule="auto"/>
        <w:jc w:val="both"/>
      </w:pPr>
    </w:p>
    <w:p w:rsidR="00123CEF" w:rsidRDefault="00123CEF" w:rsidP="00123CEF">
      <w:pPr>
        <w:spacing w:line="360" w:lineRule="auto"/>
        <w:ind w:left="6480" w:firstLine="720"/>
        <w:jc w:val="both"/>
      </w:pPr>
    </w:p>
    <w:p w:rsidR="00123CEF" w:rsidRDefault="00123CEF" w:rsidP="00123CEF">
      <w:pPr>
        <w:spacing w:line="360" w:lineRule="auto"/>
        <w:ind w:left="6480" w:firstLine="720"/>
        <w:jc w:val="both"/>
      </w:pPr>
      <w:r w:rsidRPr="00831280">
        <w:t>Director</w:t>
      </w:r>
    </w:p>
    <w:p w:rsidR="00123CEF" w:rsidRPr="00831280" w:rsidRDefault="00123CEF" w:rsidP="00123CEF">
      <w:pPr>
        <w:spacing w:line="360" w:lineRule="auto"/>
        <w:ind w:left="6480" w:firstLine="720"/>
        <w:jc w:val="both"/>
      </w:pPr>
    </w:p>
    <w:p w:rsidR="00123CEF" w:rsidRDefault="00123CEF" w:rsidP="00123CEF">
      <w:pPr>
        <w:spacing w:line="360" w:lineRule="auto"/>
        <w:jc w:val="both"/>
      </w:pPr>
      <w:r>
        <w:t>T</w:t>
      </w:r>
      <w:r w:rsidRPr="00831280">
        <w:t>o</w:t>
      </w:r>
    </w:p>
    <w:p w:rsidR="00123CEF" w:rsidRPr="007406CE" w:rsidRDefault="00123CEF" w:rsidP="00123C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Head,</w:t>
      </w:r>
    </w:p>
    <w:p w:rsidR="00123CEF" w:rsidRDefault="00123CEF" w:rsidP="00123C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Special Education</w:t>
      </w: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816652" w:rsidRDefault="00816652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816652"/>
    <w:p w:rsidR="00123CEF" w:rsidRDefault="00123CEF" w:rsidP="00123CEF"/>
    <w:p w:rsidR="00123CEF" w:rsidRPr="00831280" w:rsidRDefault="00123CEF" w:rsidP="00123CEF">
      <w:r w:rsidRPr="00831280">
        <w:lastRenderedPageBreak/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123CEF" w:rsidRDefault="00123CEF" w:rsidP="00816652"/>
    <w:tbl>
      <w:tblPr>
        <w:tblpPr w:leftFromText="180" w:rightFromText="180" w:vertAnchor="text" w:horzAnchor="margin" w:tblpXSpec="center" w:tblpY="18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402"/>
        <w:gridCol w:w="1980"/>
        <w:gridCol w:w="3348"/>
      </w:tblGrid>
      <w:tr w:rsidR="00123CEF" w:rsidTr="0029490C">
        <w:tc>
          <w:tcPr>
            <w:tcW w:w="1368" w:type="dxa"/>
          </w:tcPr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123CEF" w:rsidRPr="008A1AC5" w:rsidRDefault="00123CEF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402" w:type="dxa"/>
          </w:tcPr>
          <w:p w:rsidR="00123CEF" w:rsidRPr="008A1AC5" w:rsidRDefault="00123CEF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980" w:type="dxa"/>
          </w:tcPr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348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Department /section</w:t>
            </w:r>
          </w:p>
        </w:tc>
      </w:tr>
      <w:tr w:rsidR="00123CEF" w:rsidTr="0029490C">
        <w:tc>
          <w:tcPr>
            <w:tcW w:w="1368" w:type="dxa"/>
          </w:tcPr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T/LM-SE-1</w:t>
            </w:r>
          </w:p>
        </w:tc>
        <w:tc>
          <w:tcPr>
            <w:tcW w:w="3402" w:type="dxa"/>
          </w:tcPr>
          <w:p w:rsidR="00123CEF" w:rsidRPr="008A1AC5" w:rsidRDefault="00123CEF" w:rsidP="00123CEF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Rhyme/Story-CWSN</w:t>
            </w:r>
          </w:p>
          <w:p w:rsidR="00123CEF" w:rsidRPr="008A1AC5" w:rsidRDefault="00123CEF" w:rsidP="00123CEF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348" w:type="dxa"/>
          </w:tcPr>
          <w:p w:rsidR="00123CEF" w:rsidRPr="008A1AC5" w:rsidRDefault="00123CEF" w:rsidP="00123CE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Education</w:t>
            </w:r>
          </w:p>
        </w:tc>
      </w:tr>
      <w:tr w:rsidR="00123CEF" w:rsidTr="0029490C">
        <w:tc>
          <w:tcPr>
            <w:tcW w:w="1368" w:type="dxa"/>
          </w:tcPr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T/LM-SE-2</w:t>
            </w:r>
          </w:p>
        </w:tc>
        <w:tc>
          <w:tcPr>
            <w:tcW w:w="3402" w:type="dxa"/>
          </w:tcPr>
          <w:p w:rsidR="00123CEF" w:rsidRPr="008A1AC5" w:rsidRDefault="00123CEF" w:rsidP="00123CEF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Caregivers Literacy Training Unit-2 Levels</w:t>
            </w:r>
          </w:p>
        </w:tc>
        <w:tc>
          <w:tcPr>
            <w:tcW w:w="1980" w:type="dxa"/>
          </w:tcPr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23CEF" w:rsidRPr="008A1AC5" w:rsidRDefault="00123CEF" w:rsidP="0012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348" w:type="dxa"/>
          </w:tcPr>
          <w:p w:rsidR="00123CEF" w:rsidRPr="008A1AC5" w:rsidRDefault="00123CEF" w:rsidP="00123CE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Education</w:t>
            </w:r>
          </w:p>
        </w:tc>
      </w:tr>
      <w:tr w:rsidR="00123CEF" w:rsidTr="0029490C">
        <w:tc>
          <w:tcPr>
            <w:tcW w:w="1368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PEM-SE-1</w:t>
            </w:r>
          </w:p>
        </w:tc>
        <w:tc>
          <w:tcPr>
            <w:tcW w:w="3402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Documentary ‘Department of Special Education’</w:t>
            </w:r>
          </w:p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Number:978-93-81584-51-4)</w:t>
            </w:r>
          </w:p>
        </w:tc>
        <w:tc>
          <w:tcPr>
            <w:tcW w:w="1980" w:type="dxa"/>
          </w:tcPr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Video</w:t>
            </w:r>
          </w:p>
        </w:tc>
        <w:tc>
          <w:tcPr>
            <w:tcW w:w="3348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Education</w:t>
            </w:r>
          </w:p>
        </w:tc>
      </w:tr>
      <w:tr w:rsidR="00123CEF" w:rsidTr="0029490C">
        <w:tc>
          <w:tcPr>
            <w:tcW w:w="1368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PEM-SE-2</w:t>
            </w:r>
          </w:p>
        </w:tc>
        <w:tc>
          <w:tcPr>
            <w:tcW w:w="3402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Curricular Adaptation</w:t>
            </w:r>
          </w:p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Number:978-93-81584-52-1)</w:t>
            </w:r>
          </w:p>
        </w:tc>
        <w:tc>
          <w:tcPr>
            <w:tcW w:w="1980" w:type="dxa"/>
          </w:tcPr>
          <w:p w:rsidR="00123CEF" w:rsidRPr="008A1AC5" w:rsidRDefault="00123CEF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</w:t>
            </w:r>
          </w:p>
        </w:tc>
        <w:tc>
          <w:tcPr>
            <w:tcW w:w="3348" w:type="dxa"/>
          </w:tcPr>
          <w:p w:rsidR="00123CEF" w:rsidRPr="008A1AC5" w:rsidRDefault="00123CEF" w:rsidP="008A1AC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Education</w:t>
            </w:r>
          </w:p>
        </w:tc>
      </w:tr>
    </w:tbl>
    <w:p w:rsidR="0067730C" w:rsidRDefault="0067730C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DB6947" w:rsidRDefault="000166E2" w:rsidP="009A378F">
      <w:pPr>
        <w:spacing w:after="200" w:line="276" w:lineRule="auto"/>
        <w:jc w:val="center"/>
      </w:pPr>
      <w:r>
        <w:rPr>
          <w:b/>
        </w:rPr>
        <w:br w:type="page"/>
      </w:r>
    </w:p>
    <w:p w:rsidR="0055718D" w:rsidRDefault="0055718D" w:rsidP="00DB6947"/>
    <w:p w:rsidR="00DB6947" w:rsidRPr="00950EA6" w:rsidRDefault="00DB6947" w:rsidP="00DB6947">
      <w:pPr>
        <w:tabs>
          <w:tab w:val="left" w:pos="5580"/>
        </w:tabs>
      </w:pPr>
    </w:p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sectPr w:rsidR="00C76E62" w:rsidSect="00123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325F1"/>
    <w:rsid w:val="00050823"/>
    <w:rsid w:val="000D73ED"/>
    <w:rsid w:val="0010375C"/>
    <w:rsid w:val="00123CEF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9490C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27FD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378F"/>
    <w:rsid w:val="009A51FE"/>
    <w:rsid w:val="009B1DCF"/>
    <w:rsid w:val="009E5EA5"/>
    <w:rsid w:val="009F7369"/>
    <w:rsid w:val="00A26ED3"/>
    <w:rsid w:val="00A3736D"/>
    <w:rsid w:val="00A71E31"/>
    <w:rsid w:val="00A879C1"/>
    <w:rsid w:val="00AE5492"/>
    <w:rsid w:val="00B0096B"/>
    <w:rsid w:val="00B02C15"/>
    <w:rsid w:val="00B06CE8"/>
    <w:rsid w:val="00B6142C"/>
    <w:rsid w:val="00B6185F"/>
    <w:rsid w:val="00C07226"/>
    <w:rsid w:val="00C15F94"/>
    <w:rsid w:val="00C22A16"/>
    <w:rsid w:val="00C40D97"/>
    <w:rsid w:val="00C42E9B"/>
    <w:rsid w:val="00C63047"/>
    <w:rsid w:val="00C76E62"/>
    <w:rsid w:val="00CD3DB9"/>
    <w:rsid w:val="00CD643E"/>
    <w:rsid w:val="00CF130E"/>
    <w:rsid w:val="00D25D12"/>
    <w:rsid w:val="00DB6947"/>
    <w:rsid w:val="00DF10C3"/>
    <w:rsid w:val="00DF72FD"/>
    <w:rsid w:val="00E424CB"/>
    <w:rsid w:val="00E451A2"/>
    <w:rsid w:val="00EA0C15"/>
    <w:rsid w:val="00F15BE7"/>
    <w:rsid w:val="00F46BC3"/>
    <w:rsid w:val="00FA1975"/>
    <w:rsid w:val="00FB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123CE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23C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860F-D244-46F6-8ADB-DB32F083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6</cp:revision>
  <dcterms:created xsi:type="dcterms:W3CDTF">2014-05-20T21:17:00Z</dcterms:created>
  <dcterms:modified xsi:type="dcterms:W3CDTF">2014-05-26T21:33:00Z</dcterms:modified>
</cp:coreProperties>
</file>