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5E" w:rsidRPr="00831280" w:rsidRDefault="00D56D5E" w:rsidP="00D56D5E">
      <w:pPr>
        <w:jc w:val="center"/>
      </w:pPr>
      <w:r w:rsidRPr="00831280">
        <w:t>ALL INDIA INSTITUTE OF SPEECH AND HEARING</w:t>
      </w:r>
    </w:p>
    <w:p w:rsidR="00D56D5E" w:rsidRPr="00831280" w:rsidRDefault="00D56D5E" w:rsidP="00D56D5E">
      <w:r w:rsidRPr="00831280"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 xml:space="preserve">       27</w:t>
      </w:r>
      <w:r w:rsidRPr="00831280">
        <w:t>.0</w:t>
      </w:r>
      <w:r>
        <w:t>5</w:t>
      </w:r>
      <w:r w:rsidRPr="00831280">
        <w:t>.14</w:t>
      </w:r>
    </w:p>
    <w:p w:rsidR="00D56D5E" w:rsidRDefault="00D56D5E" w:rsidP="00D56D5E">
      <w:pPr>
        <w:jc w:val="center"/>
        <w:rPr>
          <w:b/>
          <w:bCs/>
        </w:rPr>
      </w:pPr>
    </w:p>
    <w:p w:rsidR="00D56D5E" w:rsidRDefault="00D56D5E" w:rsidP="00D56D5E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D56D5E" w:rsidRPr="00831280" w:rsidRDefault="00D56D5E" w:rsidP="00D56D5E">
      <w:pPr>
        <w:jc w:val="center"/>
        <w:rPr>
          <w:b/>
          <w:bCs/>
        </w:rPr>
      </w:pPr>
    </w:p>
    <w:p w:rsidR="00D56D5E" w:rsidRPr="00831280" w:rsidRDefault="00D56D5E" w:rsidP="00D56D5E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D56D5E" w:rsidRPr="006B3DE6" w:rsidRDefault="00D56D5E" w:rsidP="00D56D5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D56D5E" w:rsidRDefault="00D56D5E" w:rsidP="00D56D5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D56D5E" w:rsidRPr="006B3DE6" w:rsidRDefault="00D56D5E" w:rsidP="00D56D5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D56D5E" w:rsidRDefault="00D56D5E" w:rsidP="00D56D5E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enclosed a list of </w:t>
      </w:r>
      <w:r w:rsidRPr="00631779">
        <w:t xml:space="preserve">materials </w:t>
      </w:r>
      <w:r>
        <w:t xml:space="preserve">wrote/edited/compiled/developed </w:t>
      </w:r>
      <w:r w:rsidRPr="00631779">
        <w:t>by you</w:t>
      </w:r>
      <w:r>
        <w:t xml:space="preserve"> either single or co-authored</w:t>
      </w:r>
      <w:r w:rsidRPr="00631779">
        <w:t xml:space="preserve"> as a part of you</w:t>
      </w:r>
      <w:r>
        <w:t>r</w:t>
      </w:r>
      <w:r w:rsidRPr="00631779">
        <w:t xml:space="preserve"> official assignment at the Institute</w:t>
      </w:r>
      <w:r>
        <w:t xml:space="preserve">. These materials are not currently available with the Institute. Hence, you </w:t>
      </w:r>
      <w:r w:rsidRPr="00631779">
        <w:t xml:space="preserve">are hereby informed to </w:t>
      </w:r>
      <w:r>
        <w:t xml:space="preserve">submit copies </w:t>
      </w:r>
      <w:r w:rsidRPr="00631779">
        <w:t xml:space="preserve">of </w:t>
      </w:r>
      <w:r>
        <w:t>them</w:t>
      </w:r>
      <w:r w:rsidRPr="00631779">
        <w:t xml:space="preserve"> </w:t>
      </w:r>
      <w:r>
        <w:t xml:space="preserve">(both hard and soft copies in case the material is originally produced in hard format)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4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D56D5E" w:rsidRDefault="00D56D5E" w:rsidP="00D56D5E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7666B6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D56D5E" w:rsidRPr="00831280" w:rsidRDefault="00D56D5E" w:rsidP="00D56D5E">
      <w:pPr>
        <w:spacing w:line="360" w:lineRule="auto"/>
        <w:jc w:val="both"/>
      </w:pPr>
    </w:p>
    <w:p w:rsidR="00D56D5E" w:rsidRDefault="00D56D5E" w:rsidP="00D56D5E">
      <w:pPr>
        <w:spacing w:line="360" w:lineRule="auto"/>
        <w:ind w:left="6480" w:firstLine="720"/>
        <w:jc w:val="both"/>
      </w:pPr>
    </w:p>
    <w:p w:rsidR="00D56D5E" w:rsidRDefault="00D56D5E" w:rsidP="00D56D5E">
      <w:pPr>
        <w:spacing w:line="360" w:lineRule="auto"/>
        <w:ind w:left="6480" w:firstLine="720"/>
        <w:jc w:val="both"/>
      </w:pPr>
      <w:r w:rsidRPr="00831280">
        <w:t>Director</w:t>
      </w:r>
    </w:p>
    <w:p w:rsidR="00D56D5E" w:rsidRPr="00831280" w:rsidRDefault="00D56D5E" w:rsidP="00D56D5E">
      <w:pPr>
        <w:spacing w:line="360" w:lineRule="auto"/>
        <w:ind w:left="6480" w:firstLine="720"/>
        <w:jc w:val="both"/>
      </w:pPr>
    </w:p>
    <w:p w:rsidR="00D56D5E" w:rsidRDefault="00D56D5E" w:rsidP="00D56D5E">
      <w:pPr>
        <w:spacing w:line="360" w:lineRule="auto"/>
        <w:jc w:val="both"/>
      </w:pPr>
      <w:r>
        <w:t>T</w:t>
      </w:r>
      <w:r w:rsidRPr="00831280">
        <w:t>o</w:t>
      </w:r>
    </w:p>
    <w:p w:rsidR="00D56D5E" w:rsidRPr="007406CE" w:rsidRDefault="00D56D5E" w:rsidP="00D56D5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/>
          <w:sz w:val="24"/>
          <w:szCs w:val="24"/>
        </w:rPr>
        <w:t>Sreedevi</w:t>
      </w:r>
      <w:proofErr w:type="spellEnd"/>
      <w:r w:rsidRPr="007406C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Redaer</w:t>
      </w:r>
      <w:proofErr w:type="spellEnd"/>
    </w:p>
    <w:p w:rsidR="00D56D5E" w:rsidRDefault="00D56D5E" w:rsidP="00D56D5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Speech Language Sciences</w:t>
      </w:r>
    </w:p>
    <w:p w:rsidR="00D56D5E" w:rsidRDefault="00D56D5E" w:rsidP="00D56D5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453ADC" w:rsidRDefault="00F85E4A"/>
    <w:p w:rsidR="00D56D5E" w:rsidRDefault="00D56D5E"/>
    <w:p w:rsidR="00D56D5E" w:rsidRDefault="00D56D5E"/>
    <w:p w:rsidR="00D56D5E" w:rsidRDefault="00D56D5E"/>
    <w:p w:rsidR="00D56D5E" w:rsidRDefault="00D56D5E"/>
    <w:p w:rsidR="00D56D5E" w:rsidRDefault="00D56D5E"/>
    <w:p w:rsidR="00D56D5E" w:rsidRDefault="00D56D5E"/>
    <w:p w:rsidR="00D56D5E" w:rsidRDefault="00D56D5E"/>
    <w:p w:rsidR="00D56D5E" w:rsidRDefault="00D56D5E"/>
    <w:p w:rsidR="00D56D5E" w:rsidRDefault="00D56D5E"/>
    <w:p w:rsidR="00D56D5E" w:rsidRDefault="00D56D5E"/>
    <w:p w:rsidR="00D56D5E" w:rsidRDefault="00D56D5E"/>
    <w:p w:rsidR="00D56D5E" w:rsidRDefault="00D56D5E"/>
    <w:p w:rsidR="00D56D5E" w:rsidRDefault="00D56D5E"/>
    <w:p w:rsidR="00D56D5E" w:rsidRPr="00831280" w:rsidRDefault="00D56D5E" w:rsidP="00D56D5E">
      <w:r w:rsidRPr="00831280">
        <w:lastRenderedPageBreak/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 xml:space="preserve">       27</w:t>
      </w:r>
      <w:r w:rsidRPr="00831280">
        <w:t>.0</w:t>
      </w:r>
      <w:r>
        <w:t>5</w:t>
      </w:r>
      <w:r w:rsidRPr="00831280">
        <w:t>.14</w:t>
      </w:r>
    </w:p>
    <w:p w:rsidR="00D56D5E" w:rsidRDefault="00D56D5E"/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2430"/>
        <w:gridCol w:w="1350"/>
        <w:gridCol w:w="2336"/>
        <w:gridCol w:w="822"/>
        <w:gridCol w:w="1642"/>
      </w:tblGrid>
      <w:tr w:rsidR="00D56D5E" w:rsidTr="00041C36">
        <w:tc>
          <w:tcPr>
            <w:tcW w:w="1440" w:type="dxa"/>
          </w:tcPr>
          <w:p w:rsidR="00D56D5E" w:rsidRPr="008A1AC5" w:rsidRDefault="00D56D5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D56D5E" w:rsidRPr="008A1AC5" w:rsidRDefault="00D56D5E" w:rsidP="00A96860">
            <w:pPr>
              <w:jc w:val="center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2430" w:type="dxa"/>
          </w:tcPr>
          <w:p w:rsidR="00D56D5E" w:rsidRPr="008A1AC5" w:rsidRDefault="00D56D5E" w:rsidP="00A96860">
            <w:pPr>
              <w:jc w:val="center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1350" w:type="dxa"/>
          </w:tcPr>
          <w:p w:rsidR="00D56D5E" w:rsidRPr="008A1AC5" w:rsidRDefault="00D56D5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Type of Material </w:t>
            </w:r>
          </w:p>
        </w:tc>
        <w:tc>
          <w:tcPr>
            <w:tcW w:w="2336" w:type="dxa"/>
          </w:tcPr>
          <w:p w:rsidR="00D56D5E" w:rsidRPr="008A1AC5" w:rsidRDefault="00D56D5E" w:rsidP="00A96860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</w:t>
            </w:r>
          </w:p>
        </w:tc>
        <w:tc>
          <w:tcPr>
            <w:tcW w:w="0" w:type="auto"/>
          </w:tcPr>
          <w:p w:rsidR="00D56D5E" w:rsidRPr="008A1AC5" w:rsidRDefault="00D56D5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1642" w:type="dxa"/>
          </w:tcPr>
          <w:p w:rsidR="00D56D5E" w:rsidRPr="008A1AC5" w:rsidRDefault="00D56D5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Remarks</w:t>
            </w:r>
          </w:p>
        </w:tc>
      </w:tr>
      <w:tr w:rsidR="00D56D5E" w:rsidTr="00041C36">
        <w:trPr>
          <w:trHeight w:val="1007"/>
        </w:trPr>
        <w:tc>
          <w:tcPr>
            <w:tcW w:w="1440" w:type="dxa"/>
          </w:tcPr>
          <w:p w:rsidR="00D56D5E" w:rsidRPr="008A1AC5" w:rsidRDefault="00D56D5E" w:rsidP="00A96860">
            <w:pPr>
              <w:pStyle w:val="ListParagraph"/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TM-DCS-9</w:t>
            </w:r>
          </w:p>
        </w:tc>
        <w:tc>
          <w:tcPr>
            <w:tcW w:w="2430" w:type="dxa"/>
          </w:tcPr>
          <w:p w:rsidR="00D56D5E" w:rsidRPr="008A1AC5" w:rsidRDefault="00D56D5E" w:rsidP="00A96860">
            <w:pPr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Malayalam Diagnostic Articulation Test</w:t>
            </w:r>
          </w:p>
          <w:p w:rsidR="00D56D5E" w:rsidRPr="008A1AC5" w:rsidRDefault="00D56D5E" w:rsidP="00D56D5E">
            <w:pPr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ISBN - 978-93-81-584-03-3</w:t>
            </w:r>
          </w:p>
        </w:tc>
        <w:tc>
          <w:tcPr>
            <w:tcW w:w="1350" w:type="dxa"/>
          </w:tcPr>
          <w:p w:rsidR="00D56D5E" w:rsidRPr="008A1AC5" w:rsidRDefault="00D56D5E" w:rsidP="00A96860">
            <w:pPr>
              <w:pStyle w:val="ListParagraph"/>
              <w:ind w:left="0"/>
              <w:jc w:val="center"/>
              <w:rPr>
                <w:szCs w:val="22"/>
              </w:rPr>
            </w:pPr>
          </w:p>
          <w:p w:rsidR="00D56D5E" w:rsidRPr="008A1AC5" w:rsidRDefault="00D56D5E" w:rsidP="00A96860">
            <w:pPr>
              <w:pStyle w:val="ListParagraph"/>
              <w:ind w:left="0"/>
              <w:jc w:val="center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2336" w:type="dxa"/>
          </w:tcPr>
          <w:p w:rsidR="00D56D5E" w:rsidRPr="008A1AC5" w:rsidRDefault="00D56D5E" w:rsidP="00D56D5E">
            <w:pPr>
              <w:jc w:val="both"/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NeenuSobhan</w:t>
            </w:r>
            <w:proofErr w:type="spellEnd"/>
            <w:r w:rsidRPr="008A1AC5">
              <w:rPr>
                <w:sz w:val="22"/>
                <w:szCs w:val="22"/>
              </w:rPr>
              <w:t xml:space="preserve">, </w:t>
            </w:r>
            <w:proofErr w:type="spellStart"/>
            <w:r w:rsidRPr="008A1AC5">
              <w:rPr>
                <w:sz w:val="22"/>
                <w:szCs w:val="22"/>
              </w:rPr>
              <w:t>Vipina</w:t>
            </w:r>
            <w:proofErr w:type="spellEnd"/>
            <w:r w:rsidRPr="008A1AC5">
              <w:rPr>
                <w:sz w:val="22"/>
                <w:szCs w:val="22"/>
              </w:rPr>
              <w:t xml:space="preserve"> V. P., </w:t>
            </w:r>
            <w:proofErr w:type="spellStart"/>
            <w:r w:rsidRPr="008A1AC5">
              <w:rPr>
                <w:sz w:val="22"/>
                <w:szCs w:val="22"/>
              </w:rPr>
              <w:t>Vrinda</w:t>
            </w:r>
            <w:proofErr w:type="spellEnd"/>
            <w:r w:rsidRPr="008A1AC5">
              <w:rPr>
                <w:sz w:val="22"/>
                <w:szCs w:val="22"/>
              </w:rPr>
              <w:t xml:space="preserve"> R. &amp; N. </w:t>
            </w:r>
            <w:proofErr w:type="spellStart"/>
            <w:r w:rsidRPr="008A1AC5">
              <w:rPr>
                <w:sz w:val="22"/>
                <w:szCs w:val="22"/>
              </w:rPr>
              <w:t>Sreedevi</w:t>
            </w:r>
            <w:proofErr w:type="spellEnd"/>
          </w:p>
        </w:tc>
        <w:tc>
          <w:tcPr>
            <w:tcW w:w="0" w:type="auto"/>
          </w:tcPr>
          <w:p w:rsidR="00D56D5E" w:rsidRPr="00041C36" w:rsidRDefault="00041C36" w:rsidP="00A9686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41C36">
              <w:rPr>
                <w:rFonts w:ascii="Times New Roman" w:hAnsi="Times New Roman"/>
              </w:rPr>
              <w:t>2011</w:t>
            </w:r>
          </w:p>
        </w:tc>
        <w:tc>
          <w:tcPr>
            <w:tcW w:w="1642" w:type="dxa"/>
          </w:tcPr>
          <w:p w:rsidR="00D56D5E" w:rsidRPr="00041C36" w:rsidRDefault="00041C36" w:rsidP="00A9686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41C36">
              <w:rPr>
                <w:rFonts w:ascii="Times New Roman" w:hAnsi="Times New Roman"/>
              </w:rPr>
              <w:t>Digitized material</w:t>
            </w:r>
          </w:p>
        </w:tc>
      </w:tr>
      <w:tr w:rsidR="00D56D5E" w:rsidTr="00041C36">
        <w:tc>
          <w:tcPr>
            <w:tcW w:w="1440" w:type="dxa"/>
          </w:tcPr>
          <w:p w:rsidR="00D56D5E" w:rsidRPr="008A1AC5" w:rsidRDefault="00D56D5E" w:rsidP="00A96860">
            <w:pPr>
              <w:pStyle w:val="ListParagraph"/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TM-DCS-10</w:t>
            </w:r>
          </w:p>
        </w:tc>
        <w:tc>
          <w:tcPr>
            <w:tcW w:w="2430" w:type="dxa"/>
          </w:tcPr>
          <w:p w:rsidR="00D56D5E" w:rsidRPr="008A1AC5" w:rsidRDefault="00D56D5E" w:rsidP="00A96860">
            <w:pPr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Odia</w:t>
            </w:r>
            <w:proofErr w:type="spellEnd"/>
            <w:r w:rsidRPr="008A1AC5">
              <w:rPr>
                <w:sz w:val="22"/>
                <w:szCs w:val="22"/>
              </w:rPr>
              <w:t xml:space="preserve"> Diagnostic Articulation Test</w:t>
            </w:r>
          </w:p>
        </w:tc>
        <w:tc>
          <w:tcPr>
            <w:tcW w:w="1350" w:type="dxa"/>
          </w:tcPr>
          <w:p w:rsidR="00D56D5E" w:rsidRPr="008A1AC5" w:rsidRDefault="00D56D5E" w:rsidP="00A96860">
            <w:pPr>
              <w:pStyle w:val="ListParagraph"/>
              <w:ind w:left="0"/>
              <w:jc w:val="center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2336" w:type="dxa"/>
          </w:tcPr>
          <w:p w:rsidR="00D56D5E" w:rsidRPr="008A1AC5" w:rsidRDefault="00D56D5E" w:rsidP="00D56D5E">
            <w:pPr>
              <w:jc w:val="both"/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PoojaBehera&amp;Sreedevi</w:t>
            </w:r>
            <w:proofErr w:type="spellEnd"/>
            <w:r w:rsidRPr="008A1AC5">
              <w:rPr>
                <w:sz w:val="22"/>
                <w:szCs w:val="22"/>
              </w:rPr>
              <w:t xml:space="preserve">, N. </w:t>
            </w:r>
          </w:p>
        </w:tc>
        <w:tc>
          <w:tcPr>
            <w:tcW w:w="0" w:type="auto"/>
          </w:tcPr>
          <w:p w:rsidR="00D56D5E" w:rsidRDefault="00D56D5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</w:tcPr>
          <w:p w:rsidR="00D56D5E" w:rsidRPr="00041C36" w:rsidRDefault="00041C36" w:rsidP="00A9686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41C36">
              <w:rPr>
                <w:rFonts w:ascii="Times New Roman" w:hAnsi="Times New Roman"/>
              </w:rPr>
              <w:t>PPTs only (Stimuli pictures)</w:t>
            </w:r>
          </w:p>
        </w:tc>
      </w:tr>
      <w:tr w:rsidR="00D56D5E" w:rsidTr="00041C36">
        <w:tc>
          <w:tcPr>
            <w:tcW w:w="1440" w:type="dxa"/>
          </w:tcPr>
          <w:p w:rsidR="00D56D5E" w:rsidRPr="008A1AC5" w:rsidRDefault="00D56D5E" w:rsidP="00A96860">
            <w:pPr>
              <w:pStyle w:val="ListParagraph"/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TM-DCS-11</w:t>
            </w:r>
          </w:p>
        </w:tc>
        <w:tc>
          <w:tcPr>
            <w:tcW w:w="2430" w:type="dxa"/>
          </w:tcPr>
          <w:p w:rsidR="00D56D5E" w:rsidRPr="008A1AC5" w:rsidRDefault="00D56D5E" w:rsidP="00A96860">
            <w:pPr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Computerized Assessment of Phonological Processes in  Malayalam (CAPP-M)</w:t>
            </w:r>
          </w:p>
          <w:p w:rsidR="00D56D5E" w:rsidRPr="008A1AC5" w:rsidRDefault="00D56D5E" w:rsidP="00A96860">
            <w:pPr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ISBN - 978-93-81-584-19-4</w:t>
            </w:r>
          </w:p>
        </w:tc>
        <w:tc>
          <w:tcPr>
            <w:tcW w:w="1350" w:type="dxa"/>
          </w:tcPr>
          <w:p w:rsidR="00D56D5E" w:rsidRPr="008A1AC5" w:rsidRDefault="00D56D5E" w:rsidP="00A96860">
            <w:pPr>
              <w:pStyle w:val="ListParagraph"/>
              <w:ind w:left="0"/>
              <w:jc w:val="center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2336" w:type="dxa"/>
          </w:tcPr>
          <w:p w:rsidR="00D56D5E" w:rsidRPr="008A1AC5" w:rsidRDefault="00D56D5E" w:rsidP="00D56D5E">
            <w:pPr>
              <w:jc w:val="both"/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Sreedevi</w:t>
            </w:r>
            <w:proofErr w:type="spellEnd"/>
            <w:r w:rsidRPr="008A1AC5">
              <w:rPr>
                <w:sz w:val="22"/>
                <w:szCs w:val="22"/>
              </w:rPr>
              <w:t>, N. &amp;</w:t>
            </w:r>
            <w:proofErr w:type="spellStart"/>
            <w:r w:rsidRPr="008A1AC5">
              <w:rPr>
                <w:sz w:val="22"/>
                <w:szCs w:val="22"/>
              </w:rPr>
              <w:t>Merin</w:t>
            </w:r>
            <w:proofErr w:type="spellEnd"/>
            <w:r w:rsidRPr="008A1AC5">
              <w:rPr>
                <w:sz w:val="22"/>
                <w:szCs w:val="22"/>
              </w:rPr>
              <w:t xml:space="preserve"> John </w:t>
            </w:r>
          </w:p>
        </w:tc>
        <w:tc>
          <w:tcPr>
            <w:tcW w:w="0" w:type="auto"/>
          </w:tcPr>
          <w:p w:rsidR="00D56D5E" w:rsidRPr="00041C36" w:rsidRDefault="00041C36" w:rsidP="00A9686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41C36">
              <w:rPr>
                <w:rFonts w:ascii="Times New Roman" w:hAnsi="Times New Roman"/>
              </w:rPr>
              <w:t>2011</w:t>
            </w:r>
          </w:p>
        </w:tc>
        <w:tc>
          <w:tcPr>
            <w:tcW w:w="1642" w:type="dxa"/>
          </w:tcPr>
          <w:p w:rsidR="00D56D5E" w:rsidRPr="00041C36" w:rsidRDefault="00041C36" w:rsidP="00A9686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41C36">
              <w:rPr>
                <w:rFonts w:ascii="Times New Roman" w:hAnsi="Times New Roman"/>
              </w:rPr>
              <w:t xml:space="preserve">Software available. Not submitted </w:t>
            </w:r>
            <w:proofErr w:type="spellStart"/>
            <w:r w:rsidRPr="00041C36">
              <w:rPr>
                <w:rFonts w:ascii="Times New Roman" w:hAnsi="Times New Roman"/>
              </w:rPr>
              <w:t>fulltext</w:t>
            </w:r>
            <w:proofErr w:type="spellEnd"/>
          </w:p>
        </w:tc>
      </w:tr>
      <w:tr w:rsidR="00D56D5E" w:rsidTr="00041C36">
        <w:tc>
          <w:tcPr>
            <w:tcW w:w="1440" w:type="dxa"/>
          </w:tcPr>
          <w:p w:rsidR="00D56D5E" w:rsidRPr="008A1AC5" w:rsidRDefault="00D56D5E" w:rsidP="00A96860">
            <w:pPr>
              <w:pStyle w:val="ListParagraph"/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TM-DCS-12</w:t>
            </w:r>
          </w:p>
        </w:tc>
        <w:tc>
          <w:tcPr>
            <w:tcW w:w="2430" w:type="dxa"/>
          </w:tcPr>
          <w:p w:rsidR="00D56D5E" w:rsidRPr="008A1AC5" w:rsidRDefault="00D56D5E" w:rsidP="00A96860">
            <w:pPr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Computerized Assessment of Phonological Processes in  Kannada (CAPP-K)</w:t>
            </w:r>
          </w:p>
          <w:p w:rsidR="00D56D5E" w:rsidRPr="008A1AC5" w:rsidRDefault="00D56D5E" w:rsidP="00A96860">
            <w:pPr>
              <w:rPr>
                <w:szCs w:val="22"/>
              </w:rPr>
            </w:pPr>
          </w:p>
        </w:tc>
        <w:tc>
          <w:tcPr>
            <w:tcW w:w="1350" w:type="dxa"/>
          </w:tcPr>
          <w:p w:rsidR="00D56D5E" w:rsidRPr="008A1AC5" w:rsidRDefault="00D56D5E" w:rsidP="00A96860">
            <w:pPr>
              <w:pStyle w:val="ListParagraph"/>
              <w:ind w:left="0"/>
              <w:jc w:val="center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  <w:p w:rsidR="00D56D5E" w:rsidRPr="008A1AC5" w:rsidRDefault="00D56D5E" w:rsidP="00A96860">
            <w:pPr>
              <w:pStyle w:val="ListParagraph"/>
              <w:ind w:left="0"/>
              <w:jc w:val="center"/>
              <w:rPr>
                <w:szCs w:val="22"/>
              </w:rPr>
            </w:pPr>
          </w:p>
        </w:tc>
        <w:tc>
          <w:tcPr>
            <w:tcW w:w="2336" w:type="dxa"/>
          </w:tcPr>
          <w:p w:rsidR="00D56D5E" w:rsidRPr="008A1AC5" w:rsidRDefault="00D56D5E" w:rsidP="00D56D5E">
            <w:pPr>
              <w:jc w:val="both"/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Sreedevi</w:t>
            </w:r>
            <w:proofErr w:type="spellEnd"/>
            <w:r w:rsidRPr="008A1AC5">
              <w:rPr>
                <w:sz w:val="22"/>
                <w:szCs w:val="22"/>
              </w:rPr>
              <w:t>, N. &amp;</w:t>
            </w:r>
            <w:proofErr w:type="spellStart"/>
            <w:r w:rsidRPr="008A1AC5">
              <w:rPr>
                <w:sz w:val="22"/>
                <w:szCs w:val="22"/>
              </w:rPr>
              <w:t>Sindhusha</w:t>
            </w:r>
            <w:proofErr w:type="spellEnd"/>
            <w:r w:rsidRPr="008A1AC5">
              <w:rPr>
                <w:sz w:val="22"/>
                <w:szCs w:val="22"/>
              </w:rPr>
              <w:t xml:space="preserve"> C. </w:t>
            </w:r>
          </w:p>
        </w:tc>
        <w:tc>
          <w:tcPr>
            <w:tcW w:w="0" w:type="auto"/>
          </w:tcPr>
          <w:p w:rsidR="00D56D5E" w:rsidRDefault="00D56D5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</w:tcPr>
          <w:p w:rsidR="00D56D5E" w:rsidRPr="00041C36" w:rsidRDefault="00041C36" w:rsidP="00A9686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41C36">
              <w:rPr>
                <w:rFonts w:ascii="Times New Roman" w:hAnsi="Times New Roman"/>
              </w:rPr>
              <w:t xml:space="preserve">Software available. Not submitted </w:t>
            </w:r>
            <w:proofErr w:type="spellStart"/>
            <w:r w:rsidRPr="00041C36">
              <w:rPr>
                <w:rFonts w:ascii="Times New Roman" w:hAnsi="Times New Roman"/>
              </w:rPr>
              <w:t>fulltext</w:t>
            </w:r>
            <w:proofErr w:type="spellEnd"/>
          </w:p>
        </w:tc>
      </w:tr>
      <w:tr w:rsidR="00D56D5E" w:rsidTr="00041C36">
        <w:tc>
          <w:tcPr>
            <w:tcW w:w="1440" w:type="dxa"/>
          </w:tcPr>
          <w:p w:rsidR="00D56D5E" w:rsidRPr="008A1AC5" w:rsidRDefault="00D56D5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t>T/LM- SLS-7</w:t>
            </w:r>
          </w:p>
        </w:tc>
        <w:tc>
          <w:tcPr>
            <w:tcW w:w="2430" w:type="dxa"/>
          </w:tcPr>
          <w:p w:rsidR="00D56D5E" w:rsidRPr="008A1AC5" w:rsidRDefault="00D56D5E" w:rsidP="00D56D5E">
            <w:pPr>
              <w:rPr>
                <w:b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on “National Seminar on phonological disorders: Clinical perspectives</w:t>
            </w:r>
          </w:p>
        </w:tc>
        <w:tc>
          <w:tcPr>
            <w:tcW w:w="1350" w:type="dxa"/>
          </w:tcPr>
          <w:p w:rsidR="00D56D5E" w:rsidRPr="008A1AC5" w:rsidRDefault="00D56D5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color w:val="000000"/>
              </w:rPr>
              <w:t>Print</w:t>
            </w:r>
            <w:r>
              <w:rPr>
                <w:color w:val="000000"/>
              </w:rPr>
              <w:t xml:space="preserve"> &amp; CD</w:t>
            </w:r>
          </w:p>
        </w:tc>
        <w:tc>
          <w:tcPr>
            <w:tcW w:w="2336" w:type="dxa"/>
          </w:tcPr>
          <w:p w:rsidR="00D56D5E" w:rsidRPr="008A1AC5" w:rsidRDefault="00D56D5E" w:rsidP="00A96860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8A1AC5">
              <w:rPr>
                <w:color w:val="000000"/>
              </w:rPr>
              <w:t>Sreedevi</w:t>
            </w:r>
            <w:proofErr w:type="spellEnd"/>
            <w:r>
              <w:rPr>
                <w:color w:val="000000"/>
              </w:rPr>
              <w:t xml:space="preserve">, </w:t>
            </w:r>
            <w:r w:rsidRPr="008A1AC5">
              <w:rPr>
                <w:color w:val="000000"/>
              </w:rPr>
              <w:t>N</w:t>
            </w:r>
          </w:p>
        </w:tc>
        <w:tc>
          <w:tcPr>
            <w:tcW w:w="0" w:type="auto"/>
          </w:tcPr>
          <w:p w:rsidR="00D56D5E" w:rsidRDefault="00D56D5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</w:tcPr>
          <w:p w:rsidR="00D56D5E" w:rsidRPr="00041C36" w:rsidRDefault="00041C36" w:rsidP="00A9686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41C36">
              <w:rPr>
                <w:rFonts w:ascii="Times New Roman" w:hAnsi="Times New Roman"/>
              </w:rPr>
              <w:t xml:space="preserve">Hard copy available </w:t>
            </w:r>
          </w:p>
        </w:tc>
      </w:tr>
      <w:tr w:rsidR="00D56D5E" w:rsidTr="00041C36">
        <w:tc>
          <w:tcPr>
            <w:tcW w:w="1440" w:type="dxa"/>
          </w:tcPr>
          <w:p w:rsidR="00D56D5E" w:rsidRPr="00944C8E" w:rsidRDefault="00D56D5E" w:rsidP="00A96860">
            <w:pPr>
              <w:spacing w:before="200" w:after="200"/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978-93-81584-01-9</w:t>
            </w:r>
          </w:p>
        </w:tc>
        <w:tc>
          <w:tcPr>
            <w:tcW w:w="2430" w:type="dxa"/>
          </w:tcPr>
          <w:p w:rsidR="00D56D5E" w:rsidRPr="008A1AC5" w:rsidRDefault="00D56D5E" w:rsidP="00A96860">
            <w:pPr>
              <w:jc w:val="center"/>
              <w:rPr>
                <w:b/>
                <w:szCs w:val="22"/>
              </w:rPr>
            </w:pPr>
            <w:r w:rsidRPr="00944C8E">
              <w:rPr>
                <w:rFonts w:ascii="Book Antiqua" w:hAnsi="Book Antiqua"/>
              </w:rPr>
              <w:t xml:space="preserve">Proceedings of the </w:t>
            </w:r>
            <w:r w:rsidRPr="00944C8E">
              <w:rPr>
                <w:rFonts w:ascii="Book Antiqua" w:hAnsi="Book Antiqua"/>
                <w:color w:val="000000"/>
              </w:rPr>
              <w:t>National Workshop on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944C8E">
              <w:rPr>
                <w:rFonts w:ascii="Book Antiqua" w:hAnsi="Book Antiqua"/>
                <w:color w:val="000000"/>
              </w:rPr>
              <w:t>Phonological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944C8E">
              <w:rPr>
                <w:rFonts w:ascii="Book Antiqua" w:hAnsi="Book Antiqua"/>
                <w:color w:val="000000"/>
              </w:rPr>
              <w:t>Disorders: Clinical Perspectives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1350" w:type="dxa"/>
          </w:tcPr>
          <w:p w:rsidR="00D56D5E" w:rsidRPr="008A1AC5" w:rsidRDefault="00D56D5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color w:val="000000"/>
              </w:rPr>
              <w:t>Print</w:t>
            </w:r>
          </w:p>
        </w:tc>
        <w:tc>
          <w:tcPr>
            <w:tcW w:w="2336" w:type="dxa"/>
          </w:tcPr>
          <w:p w:rsidR="00D56D5E" w:rsidRPr="008A1AC5" w:rsidRDefault="00D56D5E" w:rsidP="00A96860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944C8E">
              <w:rPr>
                <w:rFonts w:ascii="Book Antiqua" w:hAnsi="Book Antiqua"/>
              </w:rPr>
              <w:t>Savithri</w:t>
            </w:r>
            <w:proofErr w:type="spellEnd"/>
            <w:r w:rsidRPr="00944C8E">
              <w:rPr>
                <w:rFonts w:ascii="Book Antiqua" w:hAnsi="Book Antiqua"/>
              </w:rPr>
              <w:t xml:space="preserve">, S R. &amp; N </w:t>
            </w:r>
            <w:proofErr w:type="spellStart"/>
            <w:r w:rsidRPr="00944C8E">
              <w:rPr>
                <w:rFonts w:ascii="Book Antiqua" w:hAnsi="Book Antiqua"/>
              </w:rPr>
              <w:t>Sreedevi</w:t>
            </w:r>
            <w:proofErr w:type="spellEnd"/>
          </w:p>
        </w:tc>
        <w:tc>
          <w:tcPr>
            <w:tcW w:w="0" w:type="auto"/>
          </w:tcPr>
          <w:p w:rsidR="00D56D5E" w:rsidRDefault="00D56D5E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44C8E">
              <w:rPr>
                <w:rFonts w:ascii="Book Antiqua" w:hAnsi="Book Antiqua"/>
                <w:sz w:val="24"/>
                <w:szCs w:val="24"/>
              </w:rPr>
              <w:t>2011</w:t>
            </w:r>
          </w:p>
        </w:tc>
        <w:tc>
          <w:tcPr>
            <w:tcW w:w="1642" w:type="dxa"/>
          </w:tcPr>
          <w:p w:rsidR="00D56D5E" w:rsidRPr="00041C36" w:rsidRDefault="00041C36" w:rsidP="00A9686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41C36">
              <w:rPr>
                <w:rFonts w:ascii="Times New Roman" w:hAnsi="Times New Roman"/>
              </w:rPr>
              <w:t xml:space="preserve">Hard copy available </w:t>
            </w:r>
          </w:p>
        </w:tc>
      </w:tr>
      <w:tr w:rsidR="00041C36" w:rsidTr="00041C36">
        <w:tc>
          <w:tcPr>
            <w:tcW w:w="1440" w:type="dxa"/>
          </w:tcPr>
          <w:p w:rsidR="00041C36" w:rsidRDefault="00041C36" w:rsidP="004142F9">
            <w:pPr>
              <w:spacing w:before="60" w:after="60"/>
            </w:pPr>
            <w:r>
              <w:t>978-93-81584-24-8</w:t>
            </w:r>
          </w:p>
        </w:tc>
        <w:tc>
          <w:tcPr>
            <w:tcW w:w="2430" w:type="dxa"/>
          </w:tcPr>
          <w:p w:rsidR="00041C36" w:rsidRPr="008A1AC5" w:rsidRDefault="00041C36" w:rsidP="004142F9">
            <w:pPr>
              <w:jc w:val="center"/>
              <w:rPr>
                <w:b/>
                <w:szCs w:val="22"/>
              </w:rPr>
            </w:pPr>
            <w:r>
              <w:t xml:space="preserve">Orientation program for school teachers on management of Children with Hearing </w:t>
            </w:r>
            <w:r w:rsidR="00F85E4A">
              <w:t>Impairment</w:t>
            </w:r>
          </w:p>
        </w:tc>
        <w:tc>
          <w:tcPr>
            <w:tcW w:w="1350" w:type="dxa"/>
          </w:tcPr>
          <w:p w:rsidR="00041C36" w:rsidRPr="008A1AC5" w:rsidRDefault="00041C36" w:rsidP="004142F9">
            <w:pPr>
              <w:pStyle w:val="ListParagraph"/>
              <w:ind w:left="0"/>
              <w:jc w:val="center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  <w:p w:rsidR="00041C36" w:rsidRPr="008A1AC5" w:rsidRDefault="00041C36" w:rsidP="004142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:rsidR="00041C36" w:rsidRDefault="00041C36" w:rsidP="004142F9">
            <w:pPr>
              <w:spacing w:before="60" w:after="60"/>
            </w:pPr>
            <w:proofErr w:type="spellStart"/>
            <w:r>
              <w:t>Dr.Sreedevi</w:t>
            </w:r>
            <w:proofErr w:type="spellEnd"/>
            <w:r>
              <w:t xml:space="preserve">, N </w:t>
            </w:r>
          </w:p>
          <w:p w:rsidR="00041C36" w:rsidRDefault="00041C36" w:rsidP="004142F9">
            <w:pPr>
              <w:spacing w:before="60" w:after="60"/>
            </w:pPr>
            <w:proofErr w:type="spellStart"/>
            <w:r>
              <w:t>Y.V.geetha</w:t>
            </w:r>
            <w:proofErr w:type="spellEnd"/>
            <w:r>
              <w:t xml:space="preserve"> </w:t>
            </w:r>
          </w:p>
          <w:p w:rsidR="00041C36" w:rsidRPr="008A1AC5" w:rsidRDefault="00041C36" w:rsidP="004142F9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>
              <w:t>B.N.Sobha</w:t>
            </w:r>
            <w:proofErr w:type="spellEnd"/>
            <w:r>
              <w:t xml:space="preserve"> &amp; </w:t>
            </w:r>
            <w:proofErr w:type="spellStart"/>
            <w:r>
              <w:t>C.latha</w:t>
            </w:r>
            <w:proofErr w:type="spellEnd"/>
          </w:p>
        </w:tc>
        <w:tc>
          <w:tcPr>
            <w:tcW w:w="0" w:type="auto"/>
          </w:tcPr>
          <w:p w:rsidR="00041C36" w:rsidRDefault="00041C36" w:rsidP="004142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t>2012</w:t>
            </w:r>
          </w:p>
        </w:tc>
        <w:tc>
          <w:tcPr>
            <w:tcW w:w="1642" w:type="dxa"/>
          </w:tcPr>
          <w:p w:rsidR="00041C36" w:rsidRDefault="00041C36" w:rsidP="00A9686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56D5E" w:rsidRDefault="00D56D5E"/>
    <w:sectPr w:rsidR="00D56D5E" w:rsidSect="004D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D5E"/>
    <w:rsid w:val="00041C36"/>
    <w:rsid w:val="0043580B"/>
    <w:rsid w:val="004D61D4"/>
    <w:rsid w:val="00654B7C"/>
    <w:rsid w:val="00D40FEE"/>
    <w:rsid w:val="00D56D5E"/>
    <w:rsid w:val="00F8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D5E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D56D5E"/>
  </w:style>
  <w:style w:type="character" w:styleId="Hyperlink">
    <w:name w:val="Hyperlink"/>
    <w:basedOn w:val="DefaultParagraphFont"/>
    <w:uiPriority w:val="99"/>
    <w:unhideWhenUsed/>
    <w:rsid w:val="00D56D5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56D5E"/>
    <w:rPr>
      <w:i/>
      <w:iCs/>
    </w:rPr>
  </w:style>
  <w:style w:type="paragraph" w:styleId="ListParagraph">
    <w:name w:val="List Paragraph"/>
    <w:basedOn w:val="Normal"/>
    <w:uiPriority w:val="34"/>
    <w:qFormat/>
    <w:rsid w:val="00D56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ishp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2035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Nandeesh</cp:lastModifiedBy>
  <cp:revision>3</cp:revision>
  <dcterms:created xsi:type="dcterms:W3CDTF">2014-05-26T18:08:00Z</dcterms:created>
  <dcterms:modified xsi:type="dcterms:W3CDTF">2014-06-10T10:12:00Z</dcterms:modified>
</cp:coreProperties>
</file>