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33" w:rsidRDefault="00301533" w:rsidP="00301533">
      <w:pPr>
        <w:jc w:val="center"/>
      </w:pPr>
      <w:r w:rsidRPr="00831280">
        <w:t>ALL INDIA INSTITUTE OF SPEECH AND HEARING</w:t>
      </w:r>
    </w:p>
    <w:p w:rsidR="00811425" w:rsidRPr="00831280" w:rsidRDefault="00811425" w:rsidP="00301533">
      <w:pPr>
        <w:jc w:val="center"/>
      </w:pPr>
    </w:p>
    <w:p w:rsidR="00301533" w:rsidRPr="00831280" w:rsidRDefault="00301533" w:rsidP="00301533">
      <w:r w:rsidRPr="00831280">
        <w:t xml:space="preserve">SH/PIO/PDC/2013-14                                                                                           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301533" w:rsidRPr="00831280" w:rsidRDefault="00301533" w:rsidP="00301533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301533" w:rsidRPr="00831280" w:rsidRDefault="00301533" w:rsidP="00301533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301533" w:rsidRPr="006B3DE6" w:rsidRDefault="00301533" w:rsidP="0030153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301533" w:rsidRDefault="00301533" w:rsidP="0030153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301533" w:rsidRPr="006B3DE6" w:rsidRDefault="00301533" w:rsidP="0030153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301533" w:rsidRDefault="00301533" w:rsidP="00301533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6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301533" w:rsidRDefault="00301533" w:rsidP="00301533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301533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301533" w:rsidRDefault="00301533" w:rsidP="00301533">
      <w:pPr>
        <w:spacing w:line="360" w:lineRule="auto"/>
        <w:jc w:val="both"/>
      </w:pPr>
    </w:p>
    <w:p w:rsidR="00301533" w:rsidRDefault="00301533" w:rsidP="00301533">
      <w:pPr>
        <w:spacing w:line="360" w:lineRule="auto"/>
        <w:jc w:val="both"/>
      </w:pPr>
    </w:p>
    <w:p w:rsidR="00301533" w:rsidRPr="00831280" w:rsidRDefault="00301533" w:rsidP="00301533">
      <w:pPr>
        <w:spacing w:line="360" w:lineRule="auto"/>
        <w:jc w:val="both"/>
      </w:pPr>
    </w:p>
    <w:p w:rsidR="00301533" w:rsidRDefault="00301533" w:rsidP="00301533">
      <w:pPr>
        <w:spacing w:line="360" w:lineRule="auto"/>
        <w:ind w:left="6480" w:firstLine="720"/>
        <w:jc w:val="both"/>
      </w:pPr>
      <w:r w:rsidRPr="00831280">
        <w:t>Director</w:t>
      </w:r>
    </w:p>
    <w:p w:rsidR="00301533" w:rsidRPr="00831280" w:rsidRDefault="00301533" w:rsidP="00301533">
      <w:pPr>
        <w:spacing w:line="360" w:lineRule="auto"/>
        <w:ind w:left="6480" w:firstLine="720"/>
        <w:jc w:val="both"/>
      </w:pPr>
    </w:p>
    <w:p w:rsidR="00301533" w:rsidRDefault="00301533" w:rsidP="00301533">
      <w:pPr>
        <w:spacing w:line="360" w:lineRule="auto"/>
        <w:jc w:val="both"/>
      </w:pPr>
      <w:r>
        <w:t>T</w:t>
      </w:r>
      <w:r w:rsidRPr="00831280">
        <w:t>o</w:t>
      </w:r>
    </w:p>
    <w:p w:rsidR="00301533" w:rsidRPr="007406CE" w:rsidRDefault="00301533" w:rsidP="0030153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Goswami</w:t>
      </w:r>
      <w:proofErr w:type="spellEnd"/>
      <w:r>
        <w:rPr>
          <w:rFonts w:ascii="Times New Roman" w:hAnsi="Times New Roman"/>
          <w:sz w:val="24"/>
          <w:szCs w:val="24"/>
        </w:rPr>
        <w:t xml:space="preserve">, Professor, </w:t>
      </w:r>
    </w:p>
    <w:p w:rsidR="00301533" w:rsidRDefault="00301533" w:rsidP="0030153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267329" w:rsidRDefault="00267329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301533" w:rsidRDefault="00301533" w:rsidP="007C7BBF">
      <w:pPr>
        <w:tabs>
          <w:tab w:val="left" w:pos="11490"/>
        </w:tabs>
      </w:pPr>
    </w:p>
    <w:p w:rsidR="00A00647" w:rsidRPr="00831280" w:rsidRDefault="00A00647" w:rsidP="00A00647">
      <w:r w:rsidRPr="00831280">
        <w:lastRenderedPageBreak/>
        <w:t xml:space="preserve">SH/PIO/PDC/2013-14                                                                                 </w:t>
      </w:r>
      <w:r w:rsidR="00155ACA">
        <w:tab/>
      </w:r>
      <w:r w:rsidR="00155ACA">
        <w:tab/>
        <w:t>27</w:t>
      </w:r>
      <w:r w:rsidRPr="00831280">
        <w:t>.0</w:t>
      </w:r>
      <w:r w:rsidR="00155ACA">
        <w:t>5</w:t>
      </w:r>
      <w:r w:rsidRPr="00831280">
        <w:t>.14</w:t>
      </w:r>
    </w:p>
    <w:p w:rsidR="00267329" w:rsidRDefault="00267329" w:rsidP="007C7BBF">
      <w:pPr>
        <w:tabs>
          <w:tab w:val="left" w:pos="11490"/>
        </w:tabs>
      </w:pPr>
    </w:p>
    <w:p w:rsidR="00A00647" w:rsidRDefault="00A00647" w:rsidP="00C63047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160"/>
        <w:gridCol w:w="1080"/>
        <w:gridCol w:w="2200"/>
        <w:gridCol w:w="723"/>
        <w:gridCol w:w="1531"/>
      </w:tblGrid>
      <w:tr w:rsidR="00A00647" w:rsidTr="00832296">
        <w:tc>
          <w:tcPr>
            <w:tcW w:w="1440" w:type="dxa"/>
          </w:tcPr>
          <w:p w:rsidR="00A00647" w:rsidRPr="008A1AC5" w:rsidRDefault="00A006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A00647" w:rsidRPr="008A1AC5" w:rsidRDefault="00A00647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A00647" w:rsidRPr="008328F9" w:rsidRDefault="00A00647" w:rsidP="00F84C86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1080" w:type="dxa"/>
          </w:tcPr>
          <w:p w:rsidR="00A00647" w:rsidRPr="008328F9" w:rsidRDefault="00A00647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200" w:type="dxa"/>
          </w:tcPr>
          <w:p w:rsidR="00A00647" w:rsidRPr="008328F9" w:rsidRDefault="00A00647" w:rsidP="00F84C8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723" w:type="dxa"/>
          </w:tcPr>
          <w:p w:rsidR="00A00647" w:rsidRDefault="00A00647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1" w:type="dxa"/>
          </w:tcPr>
          <w:p w:rsidR="00A00647" w:rsidRPr="008328F9" w:rsidRDefault="00A00647" w:rsidP="00F84C8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152738" w:rsidTr="00832296">
        <w:trPr>
          <w:trHeight w:val="1835"/>
        </w:trPr>
        <w:tc>
          <w:tcPr>
            <w:tcW w:w="1440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TM-DCS-4</w:t>
            </w:r>
          </w:p>
        </w:tc>
        <w:tc>
          <w:tcPr>
            <w:tcW w:w="216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Bedside Screening Test for Persons with Aphasia – Malayalam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- 978-93-81-584-37-8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20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Kanthima</w:t>
            </w:r>
            <w:proofErr w:type="spellEnd"/>
            <w:r w:rsidRPr="008A1AC5">
              <w:rPr>
                <w:sz w:val="22"/>
                <w:szCs w:val="22"/>
              </w:rPr>
              <w:t xml:space="preserve"> N. &amp; S. P. </w:t>
            </w:r>
            <w:proofErr w:type="spellStart"/>
            <w:r w:rsidRPr="008A1AC5">
              <w:rPr>
                <w:sz w:val="22"/>
                <w:szCs w:val="22"/>
              </w:rPr>
              <w:t>Goswami</w:t>
            </w:r>
            <w:proofErr w:type="spellEnd"/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52738" w:rsidRPr="008A1AC5" w:rsidRDefault="007409EA" w:rsidP="007355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</w:t>
            </w:r>
            <w:r w:rsidR="00735558">
              <w:rPr>
                <w:color w:val="000000"/>
                <w:sz w:val="20"/>
                <w:szCs w:val="20"/>
              </w:rPr>
              <w:t xml:space="preserve"> copy available. </w:t>
            </w:r>
          </w:p>
        </w:tc>
      </w:tr>
      <w:tr w:rsidR="00152738" w:rsidTr="00832296">
        <w:tc>
          <w:tcPr>
            <w:tcW w:w="1440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TM-DCS-5</w:t>
            </w:r>
          </w:p>
        </w:tc>
        <w:tc>
          <w:tcPr>
            <w:tcW w:w="216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Bedside Screening Test for Persons with Aphasia – Kannada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- 978-93-81-584-20-0</w:t>
            </w:r>
          </w:p>
        </w:tc>
        <w:tc>
          <w:tcPr>
            <w:tcW w:w="1080" w:type="dxa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20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832296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Ramya</w:t>
            </w:r>
            <w:proofErr w:type="spellEnd"/>
            <w:r w:rsidRPr="008A1AC5">
              <w:rPr>
                <w:sz w:val="22"/>
                <w:szCs w:val="22"/>
              </w:rPr>
              <w:t xml:space="preserve"> H.Y &amp;   S. P. </w:t>
            </w:r>
            <w:proofErr w:type="spellStart"/>
            <w:r w:rsidRPr="008A1AC5">
              <w:rPr>
                <w:sz w:val="22"/>
                <w:szCs w:val="22"/>
              </w:rPr>
              <w:t>Goswami</w:t>
            </w:r>
            <w:proofErr w:type="spellEnd"/>
            <w:r w:rsidRPr="008A1A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52738" w:rsidRPr="008A1AC5" w:rsidRDefault="007409EA" w:rsidP="007355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152738" w:rsidTr="00832296">
        <w:trPr>
          <w:trHeight w:val="1808"/>
        </w:trPr>
        <w:tc>
          <w:tcPr>
            <w:tcW w:w="1440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TM-DCS-6</w:t>
            </w:r>
          </w:p>
        </w:tc>
        <w:tc>
          <w:tcPr>
            <w:tcW w:w="216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Questionnaire to evaluate the extent of burden on caregivers of persons with aphasia</w:t>
            </w:r>
          </w:p>
          <w:p w:rsidR="00152738" w:rsidRPr="008A1AC5" w:rsidRDefault="00152738" w:rsidP="0083229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- 978-93-81-584-38-5</w:t>
            </w:r>
          </w:p>
        </w:tc>
        <w:tc>
          <w:tcPr>
            <w:tcW w:w="1080" w:type="dxa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200" w:type="dxa"/>
          </w:tcPr>
          <w:p w:rsidR="00152738" w:rsidRPr="008A1AC5" w:rsidRDefault="00152738" w:rsidP="00832296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Swathi</w:t>
            </w:r>
            <w:proofErr w:type="spellEnd"/>
            <w:r w:rsidRPr="008A1AC5">
              <w:rPr>
                <w:sz w:val="22"/>
                <w:szCs w:val="22"/>
              </w:rPr>
              <w:t xml:space="preserve"> B. &amp;      S. P. </w:t>
            </w:r>
            <w:proofErr w:type="spellStart"/>
            <w:r w:rsidRPr="008A1AC5">
              <w:rPr>
                <w:sz w:val="22"/>
                <w:szCs w:val="22"/>
              </w:rPr>
              <w:t>Goswami</w:t>
            </w:r>
            <w:proofErr w:type="spellEnd"/>
            <w:r w:rsidRPr="008A1AC5">
              <w:rPr>
                <w:sz w:val="22"/>
                <w:szCs w:val="22"/>
              </w:rPr>
              <w:t xml:space="preserve"> *</w:t>
            </w:r>
          </w:p>
        </w:tc>
        <w:tc>
          <w:tcPr>
            <w:tcW w:w="723" w:type="dxa"/>
          </w:tcPr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52738" w:rsidRPr="008A1AC5" w:rsidRDefault="007409EA" w:rsidP="007355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152738" w:rsidTr="00832296">
        <w:tc>
          <w:tcPr>
            <w:tcW w:w="1440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TM-DCS-7</w:t>
            </w:r>
          </w:p>
        </w:tc>
        <w:tc>
          <w:tcPr>
            <w:tcW w:w="216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Revised Token test - Oriya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- 978-93-81-584-39-2</w:t>
            </w:r>
          </w:p>
        </w:tc>
        <w:tc>
          <w:tcPr>
            <w:tcW w:w="1080" w:type="dxa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200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832296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Bijoyaa</w:t>
            </w:r>
            <w:proofErr w:type="spellEnd"/>
            <w:r w:rsidRPr="008A1AC5">
              <w:rPr>
                <w:sz w:val="22"/>
                <w:szCs w:val="22"/>
              </w:rPr>
              <w:t xml:space="preserve"> M. &amp;   S. P. </w:t>
            </w:r>
            <w:proofErr w:type="spellStart"/>
            <w:r w:rsidRPr="008A1AC5">
              <w:rPr>
                <w:sz w:val="22"/>
                <w:szCs w:val="22"/>
              </w:rPr>
              <w:t>Goswami</w:t>
            </w:r>
            <w:proofErr w:type="spellEnd"/>
            <w:r w:rsidRPr="008A1A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</w:tcPr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52738" w:rsidRPr="008A1AC5" w:rsidRDefault="007409EA" w:rsidP="007355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  <w:tr w:rsidR="00A00647" w:rsidTr="00832296">
        <w:tc>
          <w:tcPr>
            <w:tcW w:w="1440" w:type="dxa"/>
          </w:tcPr>
          <w:p w:rsidR="00A00647" w:rsidRPr="008A1AC5" w:rsidRDefault="00A00647" w:rsidP="00F84C8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ThM-DCS-1</w:t>
            </w:r>
          </w:p>
        </w:tc>
        <w:tc>
          <w:tcPr>
            <w:tcW w:w="2160" w:type="dxa"/>
          </w:tcPr>
          <w:p w:rsidR="00A00647" w:rsidRPr="008A1AC5" w:rsidRDefault="00A00647" w:rsidP="00F84C86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Manual for Adult Aphasia Therapy in Kannada</w:t>
            </w:r>
          </w:p>
          <w:p w:rsidR="00A00647" w:rsidRPr="008A1AC5" w:rsidRDefault="00A00647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- 978-93-81-584-17-0</w:t>
            </w:r>
          </w:p>
          <w:p w:rsidR="00A00647" w:rsidRPr="008A1AC5" w:rsidRDefault="00A00647" w:rsidP="00F84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0647" w:rsidRPr="008A1AC5" w:rsidRDefault="00A00647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A00647" w:rsidRPr="008A1AC5" w:rsidRDefault="00A00647" w:rsidP="00F84C8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200" w:type="dxa"/>
          </w:tcPr>
          <w:p w:rsidR="00A00647" w:rsidRPr="008A1AC5" w:rsidRDefault="00A00647" w:rsidP="00F84C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A00647" w:rsidRPr="008A1AC5" w:rsidRDefault="00A00647" w:rsidP="0083229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S.P. </w:t>
            </w:r>
            <w:proofErr w:type="spellStart"/>
            <w:r w:rsidRPr="008A1AC5">
              <w:rPr>
                <w:sz w:val="22"/>
                <w:szCs w:val="22"/>
              </w:rPr>
              <w:t>Goswami</w:t>
            </w:r>
            <w:proofErr w:type="spellEnd"/>
            <w:r w:rsidRPr="008A1AC5">
              <w:rPr>
                <w:sz w:val="22"/>
                <w:szCs w:val="22"/>
              </w:rPr>
              <w:t xml:space="preserve">, </w:t>
            </w:r>
            <w:proofErr w:type="spellStart"/>
            <w:r w:rsidRPr="008A1AC5">
              <w:rPr>
                <w:sz w:val="22"/>
                <w:szCs w:val="22"/>
              </w:rPr>
              <w:t>Jayashree</w:t>
            </w:r>
            <w:proofErr w:type="spellEnd"/>
            <w:r w:rsidRPr="008A1AC5">
              <w:rPr>
                <w:sz w:val="22"/>
                <w:szCs w:val="22"/>
              </w:rPr>
              <w:t xml:space="preserve"> C. </w:t>
            </w:r>
            <w:proofErr w:type="spellStart"/>
            <w:r w:rsidRPr="008A1AC5">
              <w:rPr>
                <w:sz w:val="22"/>
                <w:szCs w:val="22"/>
              </w:rPr>
              <w:t>Shanbal</w:t>
            </w:r>
            <w:proofErr w:type="spellEnd"/>
            <w:r w:rsidRPr="008A1AC5">
              <w:rPr>
                <w:sz w:val="22"/>
                <w:szCs w:val="22"/>
              </w:rPr>
              <w:t xml:space="preserve"> et. al, </w:t>
            </w:r>
          </w:p>
        </w:tc>
        <w:tc>
          <w:tcPr>
            <w:tcW w:w="723" w:type="dxa"/>
          </w:tcPr>
          <w:p w:rsidR="00A00647" w:rsidRPr="008A1AC5" w:rsidRDefault="00A00647" w:rsidP="00F84C8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A00647" w:rsidRPr="008A1AC5" w:rsidRDefault="007409EA" w:rsidP="007355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Hard copy available.</w:t>
            </w:r>
          </w:p>
        </w:tc>
      </w:tr>
    </w:tbl>
    <w:p w:rsidR="00472F68" w:rsidRDefault="00472F68" w:rsidP="005C39AA">
      <w:pPr>
        <w:jc w:val="both"/>
        <w:rPr>
          <w:sz w:val="22"/>
          <w:szCs w:val="22"/>
        </w:rPr>
      </w:pPr>
    </w:p>
    <w:p w:rsidR="00A879C1" w:rsidRDefault="00A879C1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4A2FF7" w:rsidRDefault="00270F67" w:rsidP="004A2FF7">
      <w:pPr>
        <w:pStyle w:val="ListParagraph"/>
        <w:jc w:val="center"/>
        <w:rPr>
          <w:b/>
        </w:rPr>
      </w:pPr>
      <w:r>
        <w:rPr>
          <w:b/>
        </w:rPr>
        <w:t xml:space="preserve"> </w:t>
      </w:r>
    </w:p>
    <w:p w:rsidR="004A2FF7" w:rsidRDefault="004A2FF7" w:rsidP="004A2FF7">
      <w:pPr>
        <w:pStyle w:val="ListParagraph"/>
        <w:jc w:val="center"/>
        <w:rPr>
          <w:b/>
        </w:rPr>
      </w:pPr>
    </w:p>
    <w:p w:rsidR="004A2FF7" w:rsidRDefault="004A2FF7" w:rsidP="004A2FF7">
      <w:pPr>
        <w:pStyle w:val="ListParagraph"/>
        <w:jc w:val="center"/>
        <w:rPr>
          <w:b/>
        </w:rPr>
      </w:pPr>
    </w:p>
    <w:p w:rsidR="00C63047" w:rsidRDefault="00C63047" w:rsidP="007C7BBF">
      <w:pPr>
        <w:tabs>
          <w:tab w:val="left" w:pos="11490"/>
        </w:tabs>
      </w:pPr>
    </w:p>
    <w:p w:rsidR="00C76E62" w:rsidRDefault="00C76E62" w:rsidP="001D0744">
      <w:pPr>
        <w:tabs>
          <w:tab w:val="left" w:pos="4380"/>
        </w:tabs>
        <w:jc w:val="center"/>
        <w:rPr>
          <w:b/>
        </w:rPr>
      </w:pPr>
    </w:p>
    <w:sectPr w:rsidR="00C76E62" w:rsidSect="00A0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F45E3"/>
    <w:rsid w:val="00014B99"/>
    <w:rsid w:val="000166E2"/>
    <w:rsid w:val="000325F1"/>
    <w:rsid w:val="00050823"/>
    <w:rsid w:val="0010375C"/>
    <w:rsid w:val="00137A2B"/>
    <w:rsid w:val="00152738"/>
    <w:rsid w:val="00155ACA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0607"/>
    <w:rsid w:val="002B1A2D"/>
    <w:rsid w:val="002B5363"/>
    <w:rsid w:val="002C3758"/>
    <w:rsid w:val="00300EF0"/>
    <w:rsid w:val="00301533"/>
    <w:rsid w:val="0034083C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C39AA"/>
    <w:rsid w:val="00655DE0"/>
    <w:rsid w:val="0067730C"/>
    <w:rsid w:val="006802DE"/>
    <w:rsid w:val="00684526"/>
    <w:rsid w:val="00693F0B"/>
    <w:rsid w:val="00735558"/>
    <w:rsid w:val="007409EA"/>
    <w:rsid w:val="007463A1"/>
    <w:rsid w:val="00772E13"/>
    <w:rsid w:val="00792077"/>
    <w:rsid w:val="007C7B4D"/>
    <w:rsid w:val="007C7BBF"/>
    <w:rsid w:val="007D1175"/>
    <w:rsid w:val="007D3D0E"/>
    <w:rsid w:val="007F45E3"/>
    <w:rsid w:val="00811425"/>
    <w:rsid w:val="00816652"/>
    <w:rsid w:val="00832296"/>
    <w:rsid w:val="00863640"/>
    <w:rsid w:val="008718B0"/>
    <w:rsid w:val="0087615D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528F1"/>
    <w:rsid w:val="00983E32"/>
    <w:rsid w:val="009A51FE"/>
    <w:rsid w:val="009B1DCF"/>
    <w:rsid w:val="009E5EA5"/>
    <w:rsid w:val="009F45C0"/>
    <w:rsid w:val="009F7369"/>
    <w:rsid w:val="00A00647"/>
    <w:rsid w:val="00A3736D"/>
    <w:rsid w:val="00A705EE"/>
    <w:rsid w:val="00A71E31"/>
    <w:rsid w:val="00A879C1"/>
    <w:rsid w:val="00B02C15"/>
    <w:rsid w:val="00B06CE8"/>
    <w:rsid w:val="00B2767F"/>
    <w:rsid w:val="00B42F2C"/>
    <w:rsid w:val="00B6142C"/>
    <w:rsid w:val="00B6185F"/>
    <w:rsid w:val="00B70877"/>
    <w:rsid w:val="00C06006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00351"/>
    <w:rsid w:val="00D16D16"/>
    <w:rsid w:val="00D25D12"/>
    <w:rsid w:val="00DB6947"/>
    <w:rsid w:val="00DF10C3"/>
    <w:rsid w:val="00DF72FD"/>
    <w:rsid w:val="00E424CB"/>
    <w:rsid w:val="00E451A2"/>
    <w:rsid w:val="00EA0C15"/>
    <w:rsid w:val="00F102B4"/>
    <w:rsid w:val="00F15BE7"/>
    <w:rsid w:val="00F46BC3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  <w:style w:type="character" w:styleId="Hyperlink">
    <w:name w:val="Hyperlink"/>
    <w:basedOn w:val="DefaultParagraphFont"/>
    <w:uiPriority w:val="99"/>
    <w:unhideWhenUsed/>
    <w:rsid w:val="0030153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1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ishpd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AFC2-897E-4967-9338-56728A45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Nandeesh</cp:lastModifiedBy>
  <cp:revision>12</cp:revision>
  <dcterms:created xsi:type="dcterms:W3CDTF">2014-05-20T00:35:00Z</dcterms:created>
  <dcterms:modified xsi:type="dcterms:W3CDTF">2014-06-10T06:41:00Z</dcterms:modified>
</cp:coreProperties>
</file>