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29" w:rsidRPr="004F5429" w:rsidRDefault="004F5429" w:rsidP="004F5429">
      <w:pPr>
        <w:spacing w:after="0" w:line="480" w:lineRule="auto"/>
        <w:jc w:val="center"/>
        <w:rPr>
          <w:rFonts w:ascii="Times New Roman" w:eastAsia="Calibri" w:hAnsi="Times New Roman" w:cs="Times New Roman"/>
          <w:b/>
          <w:sz w:val="24"/>
          <w:szCs w:val="24"/>
        </w:rPr>
      </w:pPr>
      <w:r w:rsidRPr="004F5429">
        <w:rPr>
          <w:rFonts w:ascii="Times New Roman" w:eastAsia="Calibri" w:hAnsi="Times New Roman" w:cs="Times New Roman"/>
          <w:b/>
          <w:sz w:val="24"/>
          <w:szCs w:val="24"/>
        </w:rPr>
        <w:t>ADOLESCENTS’ JUDGMENTS OF A REFUSAL  IN MALAYALAM:</w:t>
      </w:r>
    </w:p>
    <w:p w:rsidR="004F5429" w:rsidRPr="004F5429" w:rsidRDefault="004F5429" w:rsidP="004F5429">
      <w:pPr>
        <w:spacing w:line="480" w:lineRule="auto"/>
        <w:jc w:val="center"/>
        <w:rPr>
          <w:rFonts w:ascii="Times New Roman" w:eastAsia="Calibri" w:hAnsi="Times New Roman" w:cs="Times New Roman"/>
          <w:b/>
          <w:sz w:val="24"/>
          <w:szCs w:val="24"/>
        </w:rPr>
      </w:pPr>
      <w:r w:rsidRPr="004F5429">
        <w:rPr>
          <w:rFonts w:ascii="Times New Roman" w:eastAsia="Calibri" w:hAnsi="Times New Roman" w:cs="Times New Roman"/>
          <w:b/>
          <w:sz w:val="24"/>
          <w:szCs w:val="24"/>
        </w:rPr>
        <w:t>A  METAPRAGMATIC APPROACH TO CONVERSATION ANALYSIS OF CHILDREN  WITH SPECIFIC LEARNING DISABILITY.</w:t>
      </w:r>
    </w:p>
    <w:p w:rsidR="004F5429" w:rsidRPr="004F5429" w:rsidRDefault="004F5429" w:rsidP="004F5429">
      <w:pPr>
        <w:spacing w:line="480" w:lineRule="auto"/>
        <w:jc w:val="center"/>
        <w:rPr>
          <w:rFonts w:ascii="Times New Roman" w:eastAsia="Calibri" w:hAnsi="Times New Roman" w:cs="Times New Roman"/>
          <w:b/>
          <w:sz w:val="24"/>
          <w:szCs w:val="24"/>
        </w:rPr>
      </w:pPr>
      <w:r w:rsidRPr="004F5429">
        <w:rPr>
          <w:rFonts w:ascii="Times New Roman" w:eastAsia="Calibri" w:hAnsi="Times New Roman" w:cs="Times New Roman"/>
          <w:b/>
          <w:sz w:val="24"/>
          <w:szCs w:val="24"/>
        </w:rPr>
        <w:t>Abstract</w:t>
      </w:r>
    </w:p>
    <w:p w:rsidR="004F5429" w:rsidRPr="004F5429" w:rsidRDefault="004F5429" w:rsidP="004F5429">
      <w:pPr>
        <w:tabs>
          <w:tab w:val="left" w:pos="245"/>
        </w:tabs>
        <w:spacing w:line="480" w:lineRule="auto"/>
        <w:rPr>
          <w:rFonts w:ascii="Times New Roman" w:eastAsia="Calibri" w:hAnsi="Times New Roman" w:cs="Times New Roman"/>
          <w:i/>
          <w:sz w:val="24"/>
          <w:szCs w:val="24"/>
        </w:rPr>
      </w:pPr>
      <w:r w:rsidRPr="004F5429">
        <w:rPr>
          <w:rFonts w:ascii="Times New Roman" w:eastAsia="Calibri" w:hAnsi="Times New Roman" w:cs="Times New Roman"/>
          <w:i/>
          <w:sz w:val="24"/>
          <w:szCs w:val="24"/>
        </w:rPr>
        <w:tab/>
        <w:t>The present study aims to find empirical evidence of metapragmatic deficits  in a group of adolescent children ranging from 12-15 years diagnosed with Specific Learning Disability  using verbal judgments of an expression of refusal when compared with  a group of age matched children with typical development ( cwTLD).The findings revealed a developmental progression in the metapragmatic awareness of refusal across the three subgroups of cwTLD. The results also indicated that children with SLD performed less well than the typical group  while  measuring children’s awareness of refusal strategies. The difference in performance could be probably be attributed to their poor language processing skills (especially with regard to their difficulties in their choice of words and  speech acts) and  impairments in social perception .</w:t>
      </w:r>
    </w:p>
    <w:p w:rsidR="004F5429" w:rsidRPr="004F5429" w:rsidRDefault="004F5429" w:rsidP="004F5429">
      <w:pPr>
        <w:tabs>
          <w:tab w:val="left" w:pos="245"/>
        </w:tabs>
        <w:spacing w:line="480" w:lineRule="auto"/>
        <w:rPr>
          <w:rFonts w:ascii="Times New Roman" w:eastAsia="Calibri" w:hAnsi="Times New Roman" w:cs="Times New Roman"/>
          <w:i/>
          <w:sz w:val="24"/>
          <w:szCs w:val="24"/>
        </w:rPr>
      </w:pPr>
      <w:r w:rsidRPr="004F5429">
        <w:rPr>
          <w:rFonts w:ascii="Times New Roman" w:eastAsia="Calibri" w:hAnsi="Times New Roman" w:cs="Times New Roman"/>
          <w:sz w:val="24"/>
          <w:szCs w:val="24"/>
        </w:rPr>
        <w:t>Key Words: Metapragmatic Awareness, Specific Learning Disability, Refusal Strategies.</w:t>
      </w:r>
    </w:p>
    <w:p w:rsidR="0068664B" w:rsidRDefault="0068664B" w:rsidP="000E40BE">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Background</w:t>
      </w:r>
    </w:p>
    <w:p w:rsidR="004F5429" w:rsidRPr="004F5429" w:rsidRDefault="004F5429" w:rsidP="000E40BE">
      <w:pPr>
        <w:spacing w:after="0"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Metapragmatics - A Perspective</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The familiarity with pragmatic norms, rules of a language , community and culture is crucially important for successful communication.  The understanding of why language is used in certain ways is obtained by examining the undrerlying socio cultural rules , beliefs and values speakers draw on. Pragmatics does not provide such insights as it addresses only the surface level of language usage. From a level above pragmatics, metapragmatics examines the implicit operational rules , the sociocultural patterns embedded in language use and reveals why the </w:t>
      </w:r>
      <w:r w:rsidRPr="004F5429">
        <w:rPr>
          <w:rFonts w:ascii="Times New Roman" w:eastAsia="Calibri" w:hAnsi="Times New Roman" w:cs="Times New Roman"/>
          <w:sz w:val="24"/>
          <w:szCs w:val="24"/>
        </w:rPr>
        <w:lastRenderedPageBreak/>
        <w:t>speakers choose certain linguistic forms to fulfill the pragmatic function and what the culture specific criteria seem to be for the proper use of language. Kasper (1989) opines that metapragmatics investigates the culture specific values of contextual factors with in a language. Consequently at a  metapragmatic level,  not only the utterances used in a language, the perspectives  a speaker have when using a language is focused on.  For this reason, the study is conducted on the presumption  that  metapragmatics lends itself  better then pragmatics to the investigation of the strategies of speech acts which is  culture specific  to the use of a language.</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Metapragmatic knowledge has been defined in various ways. It is considered as a conscious mastery by the individual of the social rules of language (Bates,1976). It is also argued that metapragmatic skills are specific metalinguistic abilities reflecting the ability to represent, organize and regulate a discourse course (Hickmann , 1985; Geethi, Shyamala, 2018). To a considerable extent, this research incorporates both these conceptions and   focus on  social knowledge which affects the variations in linguistic expressions of refusals  as a function of the communicative context. Specific emphasis of this research is on the degree of awareness of this metapragmatic knowledge measured through investigating the extent of explicitness in typical and atypical children’s metapragmatic comments on an expression of refusal.</w:t>
      </w:r>
    </w:p>
    <w:p w:rsidR="004F5429" w:rsidRPr="004F5429" w:rsidRDefault="004F5429" w:rsidP="000E40BE">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SpeechActs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Speech acts is one of the most compelling notions in the study of language and seemingly ruled by universal principles of cooperation and politeness.( Leech,1983; Brown &amp; Levinson,1987) and their application lead to important social implications. (Ervin-Tripp,1976).Assessing the awareness of speech acts(apologies, compliments, refusals etc. ) are considered as effective ways to gain insight into ones metapragmatic awareness as those are often socio culturally and socio linguistically embedded .Each discrete speech act has a certain communicative purpose.</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lastRenderedPageBreak/>
        <w:t>Degree of politeness is a dimension of speech act.(Betz,2015).Indirect speaking is a form of politeness aimed at some form of cooperative interaction. Social interaction and indirect speech involves conflict as well as cooperation. (Brown&amp; Levinson,1987).In essence, politeness is not only a strategy to ensure smooth conversation between the interlocutors but it’s also a technique to prevent conflict and misunderstandings among the interlocutors.(Kasper &amp; Kellerman,1997)A few researches report  Metapragmatics of speech acts  in interlanguage pragmatics.(Hartford &amp;Bardovi-Harlig,1992b) using data gathering methods such as natural data observation ,role plays, discourse completion tasks and metapragmatic  judgment tasks.</w:t>
      </w:r>
    </w:p>
    <w:p w:rsidR="004F5429" w:rsidRPr="004F5429" w:rsidRDefault="004F5429" w:rsidP="000E40BE">
      <w:pPr>
        <w:spacing w:after="0"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The  FACE  principle. (Brown &amp; Levinson,1978)</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sz w:val="24"/>
          <w:szCs w:val="24"/>
        </w:rPr>
        <w:t>In communication, two aspects of people’s feelings are involved with ‘face’ . One is the desire of the individual not to be imposed on .(Negative face) and the other is the desire of the individual to be approved of.(Positive face).All languages observe this face principle by saving both the speaker’s and listener’s ‘ positive’ or ‘negative’ ‘face’ .The actual way in which this ‘face’ principle is realized is language specific.</w:t>
      </w:r>
    </w:p>
    <w:p w:rsidR="004F5429" w:rsidRPr="004F5429" w:rsidRDefault="004F5429" w:rsidP="000E40BE">
      <w:pPr>
        <w:spacing w:after="0"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Expressing Refusals to Requests - A ‘Face’ Threatening Speech Act</w:t>
      </w:r>
    </w:p>
    <w:p w:rsidR="00DF2728" w:rsidRDefault="004F5429" w:rsidP="000E40BE">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Refusals are considered as face threatening speech acts (FTA) s either the speaker’s positive or negative face is risked when a refusal is called for or carried out. Refusals, as a sensitive , subtle and high risk face threatening act can provide much insight into ones metapragmatic awareness as a high level of pragmatic competence is required in expressing and judging the act of refusing verbally. Performing the speech act of refusing require indirect strategies as well as mitigating devices to avoid risking the interlocutor’s ‘positive’ face. This choice of refusal strategies and the degree of directness of refusals may involve considering the social status of the requester relative to the refuser, social distance between the two interactants ,  social setting , age, gender </w:t>
      </w:r>
      <w:r w:rsidRPr="004F5429">
        <w:rPr>
          <w:rFonts w:ascii="Times New Roman" w:eastAsia="Calibri" w:hAnsi="Times New Roman" w:cs="Times New Roman"/>
          <w:sz w:val="24"/>
          <w:szCs w:val="24"/>
        </w:rPr>
        <w:lastRenderedPageBreak/>
        <w:t xml:space="preserve">and educational level of the interlocutors.(Felix-Brasdefer, 2008). This speech act may lead to unintended offenses and/or communication breakdowns due to its inherent  face threatening nature. Moreover, the form and the content of the refusals vary depending on the type of speech acts that elicit them (Request, offer etc. ). Refusing involve complex negotiation and due to the risk of offending the interlocutor, it often include indirect speech strategies. Beebe et al (1990) proposed a classification scheme of refusal strategies  which was partly applied for the data analysis of this study. </w:t>
      </w:r>
    </w:p>
    <w:p w:rsidR="004F5429" w:rsidRPr="004F5429" w:rsidRDefault="006C79FC" w:rsidP="004F5429">
      <w:pPr>
        <w:pBdr>
          <w:bottom w:val="single" w:sz="12" w:space="1" w:color="auto"/>
        </w:pBd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Taxon</w:t>
      </w:r>
      <w:r w:rsidR="004F5429" w:rsidRPr="004F5429">
        <w:rPr>
          <w:rFonts w:ascii="Times New Roman" w:eastAsia="Calibri" w:hAnsi="Times New Roman" w:cs="Times New Roman"/>
          <w:sz w:val="24"/>
          <w:szCs w:val="24"/>
        </w:rPr>
        <w:t>omy of the Speech Acts of Refusal (Beebe et al ,1990)</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Classification and coding scheme of refusal strategies</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I.Direct Refusal</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 xml:space="preserve">1. No    </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2. Negative Willingness</w:t>
      </w:r>
      <w:r w:rsidRPr="004F5429">
        <w:rPr>
          <w:rFonts w:ascii="Times New Roman" w:eastAsia="Calibri" w:hAnsi="Times New Roman" w:cs="Times New Roman"/>
          <w:sz w:val="24"/>
          <w:szCs w:val="24"/>
        </w:rPr>
        <w:t xml:space="preserve"> (Eg. I won’t/I can’t/ I don’t think so)</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II. Indirect Refusals</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1.</w:t>
      </w:r>
      <w:r w:rsidRPr="004F5429">
        <w:rPr>
          <w:rFonts w:ascii="Times New Roman" w:eastAsia="Calibri" w:hAnsi="Times New Roman" w:cs="Times New Roman"/>
          <w:b/>
          <w:sz w:val="24"/>
          <w:szCs w:val="24"/>
        </w:rPr>
        <w:t>StatementofRegret</w:t>
      </w:r>
      <w:r w:rsidRPr="004F5429">
        <w:rPr>
          <w:rFonts w:ascii="Times New Roman" w:eastAsia="Calibri" w:hAnsi="Times New Roman" w:cs="Times New Roman"/>
          <w:sz w:val="24"/>
          <w:szCs w:val="24"/>
        </w:rPr>
        <w:t xml:space="preserve"> (e.g. I’m sorry)</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2</w:t>
      </w:r>
      <w:r w:rsidRPr="004F5429">
        <w:rPr>
          <w:rFonts w:ascii="Times New Roman" w:eastAsia="Calibri" w:hAnsi="Times New Roman" w:cs="Times New Roman"/>
          <w:sz w:val="24"/>
          <w:szCs w:val="24"/>
        </w:rPr>
        <w:t>.</w:t>
      </w:r>
      <w:r w:rsidRPr="004F5429">
        <w:rPr>
          <w:rFonts w:ascii="Times New Roman" w:eastAsia="Calibri" w:hAnsi="Times New Roman" w:cs="Times New Roman"/>
          <w:b/>
          <w:sz w:val="24"/>
          <w:szCs w:val="24"/>
        </w:rPr>
        <w:t>Wish</w:t>
      </w:r>
      <w:r w:rsidRPr="004F5429">
        <w:rPr>
          <w:rFonts w:ascii="Times New Roman" w:eastAsia="Calibri" w:hAnsi="Times New Roman" w:cs="Times New Roman"/>
          <w:sz w:val="24"/>
          <w:szCs w:val="24"/>
        </w:rPr>
        <w:t xml:space="preserve"> (e.g.,I wish, I could)</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3.</w:t>
      </w:r>
      <w:r w:rsidRPr="004F5429">
        <w:rPr>
          <w:rFonts w:ascii="Times New Roman" w:eastAsia="Calibri" w:hAnsi="Times New Roman" w:cs="Times New Roman"/>
          <w:b/>
          <w:sz w:val="24"/>
          <w:szCs w:val="24"/>
        </w:rPr>
        <w:t>Excuse/Reason</w:t>
      </w:r>
      <w:r w:rsidRPr="004F5429">
        <w:rPr>
          <w:rFonts w:ascii="Times New Roman" w:eastAsia="Calibri" w:hAnsi="Times New Roman" w:cs="Times New Roman"/>
          <w:sz w:val="24"/>
          <w:szCs w:val="24"/>
        </w:rPr>
        <w:t xml:space="preserve">/ </w:t>
      </w:r>
      <w:r w:rsidRPr="004F5429">
        <w:rPr>
          <w:rFonts w:ascii="Times New Roman" w:eastAsia="Calibri" w:hAnsi="Times New Roman" w:cs="Times New Roman"/>
          <w:b/>
          <w:sz w:val="24"/>
          <w:szCs w:val="24"/>
        </w:rPr>
        <w:t>Explanation</w:t>
      </w:r>
      <w:r w:rsidRPr="004F5429">
        <w:rPr>
          <w:rFonts w:ascii="Times New Roman" w:eastAsia="Calibri" w:hAnsi="Times New Roman" w:cs="Times New Roman"/>
          <w:sz w:val="24"/>
          <w:szCs w:val="24"/>
        </w:rPr>
        <w:t xml:space="preserve">  (e.g., ‘I have a medical appointment’)</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4.StatementofAlternative</w:t>
      </w:r>
      <w:r w:rsidRPr="004F5429">
        <w:rPr>
          <w:rFonts w:ascii="Times New Roman" w:eastAsia="Calibri" w:hAnsi="Times New Roman" w:cs="Times New Roman"/>
          <w:sz w:val="24"/>
          <w:szCs w:val="24"/>
        </w:rPr>
        <w:t xml:space="preserve">  (e.g., ‘Please ask another friend’)</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 xml:space="preserve">5.Set condition for acceptance </w:t>
      </w:r>
      <w:r w:rsidRPr="004F5429">
        <w:rPr>
          <w:rFonts w:ascii="Times New Roman" w:eastAsia="Calibri" w:hAnsi="Times New Roman" w:cs="Times New Roman"/>
          <w:sz w:val="24"/>
          <w:szCs w:val="24"/>
        </w:rPr>
        <w:t>(e.g., ‘If  I guessed I would not have allowed it!’)</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 xml:space="preserve">6. Let interlocutor off the hook </w:t>
      </w:r>
      <w:r w:rsidRPr="004F5429">
        <w:rPr>
          <w:rFonts w:ascii="Times New Roman" w:eastAsia="Calibri" w:hAnsi="Times New Roman" w:cs="Times New Roman"/>
          <w:sz w:val="24"/>
          <w:szCs w:val="24"/>
        </w:rPr>
        <w:t>(e</w:t>
      </w:r>
      <w:r w:rsidRPr="004F5429">
        <w:rPr>
          <w:rFonts w:ascii="Times New Roman" w:eastAsia="Calibri" w:hAnsi="Times New Roman" w:cs="Times New Roman"/>
          <w:b/>
          <w:sz w:val="24"/>
          <w:szCs w:val="24"/>
        </w:rPr>
        <w:t>.</w:t>
      </w:r>
      <w:r w:rsidRPr="004F5429">
        <w:rPr>
          <w:rFonts w:ascii="Times New Roman" w:eastAsia="Calibri" w:hAnsi="Times New Roman" w:cs="Times New Roman"/>
          <w:sz w:val="24"/>
          <w:szCs w:val="24"/>
        </w:rPr>
        <w:t>g., ‘Don’t worry!/Never mind!’)</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7.Postponement </w:t>
      </w:r>
      <w:r w:rsidRPr="004F5429">
        <w:rPr>
          <w:rFonts w:ascii="Times New Roman" w:eastAsia="Calibri" w:hAnsi="Times New Roman" w:cs="Times New Roman"/>
          <w:sz w:val="24"/>
          <w:szCs w:val="24"/>
        </w:rPr>
        <w:t>(e.g., ‘May be later, I can’)</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8.Topic switch </w:t>
      </w:r>
      <w:r w:rsidRPr="004F5429">
        <w:rPr>
          <w:rFonts w:ascii="Times New Roman" w:eastAsia="Calibri" w:hAnsi="Times New Roman" w:cs="Times New Roman"/>
          <w:sz w:val="24"/>
          <w:szCs w:val="24"/>
        </w:rPr>
        <w:t>(e.g. Let us have acup of cup of coffee or tea’)</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9.Repetition </w:t>
      </w:r>
      <w:r w:rsidRPr="004F5429">
        <w:rPr>
          <w:rFonts w:ascii="Times New Roman" w:eastAsia="Calibri" w:hAnsi="Times New Roman" w:cs="Times New Roman"/>
          <w:sz w:val="24"/>
          <w:szCs w:val="24"/>
        </w:rPr>
        <w:t>(e.g. ‘ Extra one more hour!!’ )</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10.Self Defense </w:t>
      </w:r>
      <w:r w:rsidRPr="004F5429">
        <w:rPr>
          <w:rFonts w:ascii="Times New Roman" w:eastAsia="Calibri" w:hAnsi="Times New Roman" w:cs="Times New Roman"/>
          <w:sz w:val="24"/>
          <w:szCs w:val="24"/>
        </w:rPr>
        <w:t>(e.g. ‘You know, I have helped you  many times’)</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11.Lack of empathy </w:t>
      </w:r>
      <w:r w:rsidRPr="004F5429">
        <w:rPr>
          <w:rFonts w:ascii="Times New Roman" w:eastAsia="Calibri" w:hAnsi="Times New Roman" w:cs="Times New Roman"/>
          <w:sz w:val="24"/>
          <w:szCs w:val="24"/>
        </w:rPr>
        <w:t>(e.g ‘This is not my problem/responsibility’)</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12.Joke </w:t>
      </w:r>
      <w:r w:rsidRPr="004F5429">
        <w:rPr>
          <w:rFonts w:ascii="Times New Roman" w:eastAsia="Calibri" w:hAnsi="Times New Roman" w:cs="Times New Roman"/>
          <w:sz w:val="24"/>
          <w:szCs w:val="24"/>
        </w:rPr>
        <w:t>(e.g. Dessert! ‘ I don’t want to kill myself ’)</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13. Criticism </w:t>
      </w:r>
      <w:r w:rsidRPr="004F5429">
        <w:rPr>
          <w:rFonts w:ascii="Times New Roman" w:eastAsia="Calibri" w:hAnsi="Times New Roman" w:cs="Times New Roman"/>
          <w:sz w:val="24"/>
          <w:szCs w:val="24"/>
        </w:rPr>
        <w:t>(e.g., You are always absent!’)</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III.Adjuncts to Refusals</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1.Statement of positive opinion/ Feeling or Agreement </w:t>
      </w:r>
      <w:r w:rsidRPr="004F5429">
        <w:rPr>
          <w:rFonts w:ascii="Times New Roman" w:eastAsia="Calibri" w:hAnsi="Times New Roman" w:cs="Times New Roman"/>
          <w:sz w:val="24"/>
          <w:szCs w:val="24"/>
        </w:rPr>
        <w:t>(e.g., ‘I would like to/ Its awesome !/ Good opportunity !’)</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2.Statement of empathy</w:t>
      </w:r>
      <w:r w:rsidRPr="004F5429">
        <w:rPr>
          <w:rFonts w:ascii="Times New Roman" w:eastAsia="Calibri" w:hAnsi="Times New Roman" w:cs="Times New Roman"/>
          <w:sz w:val="24"/>
          <w:szCs w:val="24"/>
        </w:rPr>
        <w:t xml:space="preserve"> (e.g. ‘ I know your efforts ,but this is more important for me!’) </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3.Pause Filler </w:t>
      </w:r>
      <w:r w:rsidRPr="004F5429">
        <w:rPr>
          <w:rFonts w:ascii="Times New Roman" w:eastAsia="Calibri" w:hAnsi="Times New Roman" w:cs="Times New Roman"/>
          <w:sz w:val="24"/>
          <w:szCs w:val="24"/>
        </w:rPr>
        <w:t>(e.g. ‘ Hmm..’)</w:t>
      </w:r>
    </w:p>
    <w:p w:rsidR="004F5429" w:rsidRPr="004F5429" w:rsidRDefault="004F5429" w:rsidP="004F5429">
      <w:pPr>
        <w:spacing w:after="0" w:line="24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 xml:space="preserve">4.Gratitude </w:t>
      </w:r>
      <w:r w:rsidRPr="004F5429">
        <w:rPr>
          <w:rFonts w:ascii="Times New Roman" w:eastAsia="Calibri" w:hAnsi="Times New Roman" w:cs="Times New Roman"/>
          <w:sz w:val="24"/>
          <w:szCs w:val="24"/>
        </w:rPr>
        <w:t>(e.g. ‘ Thank u !!’)</w:t>
      </w:r>
    </w:p>
    <w:p w:rsidR="004F5429" w:rsidRPr="004F5429" w:rsidRDefault="004F5429" w:rsidP="004F5429">
      <w:pPr>
        <w:spacing w:after="0" w:line="24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 xml:space="preserve">5. Getting interlocutor attention  </w:t>
      </w:r>
      <w:r w:rsidRPr="004F5429">
        <w:rPr>
          <w:rFonts w:ascii="Times New Roman" w:eastAsia="Calibri" w:hAnsi="Times New Roman" w:cs="Times New Roman"/>
          <w:sz w:val="24"/>
          <w:szCs w:val="24"/>
        </w:rPr>
        <w:t>(e.g  ‘Look I have allowed you once !’)</w:t>
      </w:r>
    </w:p>
    <w:p w:rsidR="004F5429" w:rsidRPr="004F5429" w:rsidRDefault="004F5429" w:rsidP="004F5429">
      <w:pPr>
        <w:spacing w:after="0" w:line="240" w:lineRule="auto"/>
        <w:rPr>
          <w:rFonts w:ascii="Times New Roman" w:eastAsia="Calibri" w:hAnsi="Times New Roman" w:cs="Times New Roman"/>
          <w:sz w:val="24"/>
          <w:szCs w:val="24"/>
        </w:rPr>
      </w:pP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Direct refusals refer to the phrases such as ‘No’,’ ‘I wont’ etc. indirect refusals are indirect strategies that speakers use to minimize the offense to the hearer .Adjuncts to refusals include the </w:t>
      </w:r>
      <w:r w:rsidRPr="004F5429">
        <w:rPr>
          <w:rFonts w:ascii="Times New Roman" w:eastAsia="Calibri" w:hAnsi="Times New Roman" w:cs="Times New Roman"/>
          <w:sz w:val="24"/>
          <w:szCs w:val="24"/>
        </w:rPr>
        <w:lastRenderedPageBreak/>
        <w:t xml:space="preserve">positive opinion of the interlocutor or expressions of empathy or gratitude. Chen (1996) suggests that there are three speech acts the speaker is expected to perform when using a refusal. </w:t>
      </w:r>
    </w:p>
    <w:p w:rsidR="004F5429" w:rsidRPr="004F5429" w:rsidRDefault="004F5429" w:rsidP="004F5429">
      <w:pPr>
        <w:numPr>
          <w:ilvl w:val="0"/>
          <w:numId w:val="2"/>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An expression of regret (eg. I am very sorry)</w:t>
      </w:r>
    </w:p>
    <w:p w:rsidR="004F5429" w:rsidRPr="004F5429" w:rsidRDefault="004F5429" w:rsidP="004F5429">
      <w:pPr>
        <w:numPr>
          <w:ilvl w:val="0"/>
          <w:numId w:val="2"/>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 direct refusal (eg. I can’t attend the party)</w:t>
      </w:r>
    </w:p>
    <w:p w:rsidR="004F5429" w:rsidRPr="004F5429" w:rsidRDefault="004F5429" w:rsidP="004F5429">
      <w:pPr>
        <w:spacing w:line="480" w:lineRule="auto"/>
        <w:contextualSpacing/>
        <w:rPr>
          <w:rFonts w:ascii="Times New Roman" w:eastAsia="Calibri" w:hAnsi="Times New Roman" w:cs="Times New Roman"/>
          <w:b/>
          <w:sz w:val="24"/>
          <w:szCs w:val="24"/>
        </w:rPr>
      </w:pPr>
      <w:r w:rsidRPr="004F5429">
        <w:rPr>
          <w:rFonts w:ascii="Times New Roman" w:eastAsia="Calibri" w:hAnsi="Times New Roman" w:cs="Times New Roman"/>
          <w:sz w:val="24"/>
          <w:szCs w:val="24"/>
        </w:rPr>
        <w:t>c.   An excuse (eg.I have an important meeting)</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Metapragmatic  awareness of refusalsin children and adults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The available research on the speech act of refusals  seem to be negligible. However  metapragmatic awareness of refusals have been investigated in a very few studies on inter language pragmatics studying native and non native speaker’s production of refusals.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Chen (1995) investigated adult native and non  native  English speaker’s perception of pragmatic appropriateness of refusals on undergraduate students using a  Discourse Completion Task (DCT). Subjects rated the appropriateness of 24 written statements in 4 different refusal eliciting stimuli. Eg. Request, invitation , offers, suggestions. (Beebe etal ,1990).A point Likert scale was given to subjects to rate the appropriateness of each speech act statement in the scenarios. The rating ranged from ‘very inappropriate’ as ‘ 1’ to very appropriate as ‘ 5’ on the scale. Result indicate that statements made by native speakers of English were considered   pragmatically more appropriate than those of non   native speakers as judged by native raters. Also, stronger the pragmatic impression , the more extreme the ratings and higher the level of rating consistency for a statement. In addition, subject’s pragmatic judgments tended to be consistent  over time.</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Chen (1996) explored English native speakers’ and English second language learners  among Chinese speakers’ beliefs about how a speech threatening act such as Refusal should be </w:t>
      </w:r>
      <w:r w:rsidRPr="004F5429">
        <w:rPr>
          <w:rFonts w:ascii="Times New Roman" w:eastAsia="Calibri" w:hAnsi="Times New Roman" w:cs="Times New Roman"/>
          <w:sz w:val="24"/>
          <w:szCs w:val="24"/>
        </w:rPr>
        <w:lastRenderedPageBreak/>
        <w:t>expressed .Three types of data were collected. Refusals occurring  in natural  conversation ,  data from discourse completion tasks and  metapragmatic judgement tasks.   Results suggest that while stressing the linguistic function of speech acts, native speakers considered truthfulness, directness, clarity and effectiveness as most important while valuing social interaction. English second language learners were more concerned about being direct, preserving face and avoiding embarrassment.</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Measures ofassessing metapragmatic  awareness of refusals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Authentic role plays, written discourse completion tasks and meta pragmatic judgment tasks have been used to study MPA of refusal strategies in adults. Beebe &amp; Cummings (1985) demonstrated that for refusals, subjects intention about what they would say correspond closely to what other subjects say in natural situations. How ever, the authors of this study claim that it’s not advantageous to use DCT for measuring MPA of a face threatening speech act like refusal because real life verbal interaction involve much more elaboration especially in responding  to face threatening situations which cannot be captured through DCTs. Further  interaction between interlocutors is absent in DCTs.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b/>
        <w:t>Chen (1995 ) (1996) employed meta pragmatic judgment task to study the  awareness and usage of refusal strategies in adults . A meta pragmatic judgment task do not generate speech act data but assess them. It can be used as an interpretative tool with the aforementioned data gathering methods. In this study, a metapragmatic judgement task is employed based on two assumptions.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a.Pragmatic appropriateness should be intuitively and holistically judged as pragmatic impression is intuition driven.</w:t>
      </w:r>
    </w:p>
    <w:p w:rsidR="004F5429" w:rsidRPr="004F5429" w:rsidRDefault="004F5429" w:rsidP="004F5429">
      <w:p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lastRenderedPageBreak/>
        <w:t>b.Segmenting  a speech act for analysis may alter or distort its pragmatic content as  a speech act statement is more than the total number  of semantic units it is composed of.</w:t>
      </w:r>
    </w:p>
    <w:p w:rsidR="00DF2728" w:rsidRDefault="00DF2728" w:rsidP="004F5429">
      <w:pPr>
        <w:spacing w:line="480" w:lineRule="auto"/>
        <w:rPr>
          <w:rFonts w:ascii="Times New Roman" w:eastAsia="Calibri" w:hAnsi="Times New Roman" w:cs="Times New Roman"/>
          <w:b/>
          <w:sz w:val="24"/>
          <w:szCs w:val="24"/>
        </w:rPr>
      </w:pP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Pragmatic Awareness in children with Specific Learning Disorder (SLD)</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Metapragmatic awareness has not been researched  yet as a direct entity in children or adolescents with dyslexia. Though pragmatics and social skills of  children with dyslexia is controversial, a few authors  describe that childen and adults with varied forms of  learning difficulties exhibit difficulties in social sphere due to misperceptions, misjudgments  and misreading of social events (Chinn &amp;Crossman, 1995 ).It’s also reported that these children exhibits in appropriate topic initiation and disorganized speech content (Riddick, Farmer &amp;Sterling,1997). Use of contextual information and topic initiations have been found to be affected in children as per the parental reports using Children’s Communication Checklist(CCC-2) (Bishop,2003) and similar difficulties were reported in adults with dyslexia while  using  self  reporting  measures (Griffiths,2007). There are also documentary evidences of children with non verbal learning disabilities (NLD) having difficulties with the pragmatic aspects of language despite their  relatively well preserved verbal abilities. (Rourke,1989; Solodov et al, 2006,Cardillo, Gracia, Mammarella &amp; Cornoldi, 2017). In general, these children with NLD reveal communication impairments  such as difficulties in drawing inferences, especially with emotional and spatial materials (Humphries et al,2004; Mammarella et al,  2009; Worling,  Humphries  &amp;Tannock,1999) and impairments in social perception (Semrud-Clikeman &amp; Glass,2008) .It’s assumed that when these chidren have difficulties in processing non verbal information, they may not benefit from important social cues  needed for effective social interaction (Morris, 2002) .They are frequently considered as having a poor social competence </w:t>
      </w:r>
      <w:r w:rsidRPr="004F5429">
        <w:rPr>
          <w:rFonts w:ascii="Times New Roman" w:eastAsia="Calibri" w:hAnsi="Times New Roman" w:cs="Times New Roman"/>
          <w:sz w:val="24"/>
          <w:szCs w:val="24"/>
        </w:rPr>
        <w:lastRenderedPageBreak/>
        <w:t>and difficulty in adapting to novel situations and social contexts (Semrud-Clikeman, Walkowaik, Wilkinson &amp; Minne, 2010).</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Further, theory of mind (ToM) is one of the important  social perception skills basic to social interaction which is closely linked to one’s pragmatic abilities. (Lorusso,2009;  Martin &amp; McDonald, 2003;  Thomas&amp; Daum, 2006) .These domains are closely interlinked because pragmatics relies on the abilities to keep track of the intentions of the speakers/listeners to communicate successfully(Milligan et al,2007). Considering ToM as an ability to attribute mental states (intentions, thoughts, beliefs and emotions) into the behavior of others and use this knowledge to predict the behavior of others , ToM could be considered as a precursor  to the development of social communication skills.(Pincus,1998).</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SLD is a neuro developmental disorder with a pattern of learning difficulties  featuring  errors with fluent decoding ,spelling, impairments in language abilities including phonological processing, these individuals may find it difficult to use language appropriate to the context particularly with regard to the choice of words and speech acts.(Lapadat,1991).Reviewing the scarce literature in this field on children with dyslexia on the speculation that  studying pragmatics and ToM in children with dyslexia may shed light on their social difficulties ,the role of verbal processes  in meeting the demands of the task used for assessing pragmatics and ToM,  Cardillo et al (2017) investigated the  impairments in pragmatics and social perception in  Italian speaking SLD children  and typically developing children between the ages 8 to 10 years .  Children’s pragmatic skills were assessed using  the verbal metaphor subtest , picture metaphor subtest  implicit meaning comprehension subtest  and situational subtest of APL Medea battery (Lorusso, 2009). The verbal metaphor subtest demands the participant to listen to a metaphoric sentence  and explain its meaning while in picture metaphor subtest, participants have to indicate </w:t>
      </w:r>
      <w:r w:rsidRPr="004F5429">
        <w:rPr>
          <w:rFonts w:ascii="Times New Roman" w:eastAsia="Calibri" w:hAnsi="Times New Roman" w:cs="Times New Roman"/>
          <w:sz w:val="24"/>
          <w:szCs w:val="24"/>
        </w:rPr>
        <w:lastRenderedPageBreak/>
        <w:t>which of the four pictures represent the actual meaning of the sentence.  The implicit meaning comprehension sub test  assess children’s ability to derive information not explicitly mentioned in the text and hence demands inferential processes based on linguistic information with in the context. The situational subtest examines the ability to understand the meaning of specific expressions used during social interactions.(e.g. an utterance like ‘ if  I were in your shoes, I  would get angry!’)</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The authors of this research view that though  these tasks in the above mentioned study do not  refer to the term ‘metapragmatics’ directly , all these tasks  in general points to  the abilities of children to contextualize the verbal utterances by reflecting to their own  social experience which demands a higher order pragmatic competence. Results of the above mentioned research confirmed the weakness in pragmatics of language and ToM in children with dyslexia. The profile of children with dyslexia was characterized by deficits different domains of pragmatics especially with  comprehending  metaphor, exhibiting difficulties in explaining the meaning of  verbal and perceptual metaphoric sentences and inferring from linguistic information embedded in the context.   Children with dyslexia also performed poorer than the typical group in implicit meaning sub test  exhibiting difficulties with the inferential processes based on linguistic information   embedded in the context. The  performance of  dyslexic children on the situational subtest which assess the ability to comprehend the meaning of specific expressions  used in social interactions did not differ significantly from the typical  group. The group appeared to be able to contextualize the sentence with reference to their  every day social experience. Social perception abilities were assessed using ToM subtests from NEPSY-II (Korkman, Kirk &amp; Kemp, 2007, 2011) .With respect to ToM skills, children with dyslexia had difficulties in understanding intentions, beliefs and thoughts  and figurative expressions of others .</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lastRenderedPageBreak/>
        <w:t>How ever,while  reviewing the literature in this area, no research could be found on  usage of refusal strategies in children or adolescents with SLD. Also, at present, there is no data available on the metapragmatic awareness of refusals  on children with SLD.As a part of this research, a metapragmatic task was devised which enable metapragmatic awareness judgements in culture specific real life situations suiting Malayalam speaking school going adolescent children. It was assumed that this clinical task shall measure children’s ability to explicitly reflect upon the speech act of refusal. The extent of explicitness with which a child can judge and comment metapragmatically on the appropriateness of expressing  refusals is the focus of this research. With such an aim, measures  which tap children’s ability to  produce descriptive and  reflective   remarks  on the speech act of refusal were  devised and built upon.</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The aims of the study are as follows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1. To devise a metapragmatic judgment task for adolescent children which elicits explicit comments on the appropriateness of  refusal strategies in  descriptive and reflective manner.</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2. To measure the metapragmatic abilities of typical adolescent children in terms of their extent of  explicitness of comments on the speech act of refusal</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3. To compare the  metapragmatic abilities of children with  typical language development with those of children with Specific Learning Disorder (SLD) in terms of the extent of explicitness in their verbal metapragmatic judgments. </w:t>
      </w:r>
    </w:p>
    <w:p w:rsidR="004F5429" w:rsidRPr="004F5429" w:rsidRDefault="002374AA" w:rsidP="004F5429">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Materials and Methods</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Research Design</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The present research used a standard group comparison.</w:t>
      </w:r>
    </w:p>
    <w:p w:rsidR="002374AA" w:rsidRDefault="002374AA" w:rsidP="004F5429">
      <w:pPr>
        <w:spacing w:line="480" w:lineRule="auto"/>
        <w:rPr>
          <w:rFonts w:ascii="Times New Roman" w:eastAsia="Calibri" w:hAnsi="Times New Roman" w:cs="Times New Roman"/>
          <w:b/>
          <w:sz w:val="24"/>
          <w:szCs w:val="24"/>
        </w:rPr>
      </w:pPr>
    </w:p>
    <w:p w:rsidR="004F5429" w:rsidRPr="004F5429" w:rsidRDefault="002374AA" w:rsidP="004F5429">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4F5429" w:rsidRPr="004F5429">
        <w:rPr>
          <w:rFonts w:ascii="Times New Roman" w:eastAsia="Calibri" w:hAnsi="Times New Roman" w:cs="Times New Roman"/>
          <w:b/>
          <w:sz w:val="24"/>
          <w:szCs w:val="24"/>
        </w:rPr>
        <w:t>articipants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Typical group consisted of 90 children sub grouped under three age  levels  ranging from 12;0 to 14;11.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Group I Typical Group (N = 90)</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 group   I(a) N =  30; Age range:12;0 to 12;11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 group   I(b) N =  30; Age range:13;0 to 13;11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 group   I(c) N =  30;  Age range:14;0 to 14;11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Clinical group consisted of 45 children sub grouped under the 3 age levels ranging from 12;0 to 14;11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Group II Clinical Group (N= 45)</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 group II(a) N=15; Age range :12;0 to12;11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 group II(b) N=15; Age range: 13;0 to13;11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 group II(c) N=15; Age range :14;0 to 14;11</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All these  children in the typical and clinical group were recruited  via state government secondary and high schools in Trivandrum district of South Kerala .All these children follow the Kerala state syllabus with Malayalam being the medium of instruction. Informed written consents were obtained from the heads of all the schools and parents of all children after they were intimated about the nature of research, its objectives and social implications. Screening </w:t>
      </w:r>
      <w:r w:rsidRPr="004F5429">
        <w:rPr>
          <w:rFonts w:ascii="Times New Roman" w:eastAsia="Calibri" w:hAnsi="Times New Roman" w:cs="Times New Roman"/>
          <w:sz w:val="24"/>
          <w:szCs w:val="24"/>
        </w:rPr>
        <w:lastRenderedPageBreak/>
        <w:t xml:space="preserve">sessions were conducted at the initial phases of the research to establish children’s suitability for taking part in the research. </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Screening Tools used  to assess children in the Typical group</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Linguistic Profile Test (LPT) (Malayalam) (Asha &amp;Karanth 1997) was used to obtain the phonologic, semantic and syntactic scores for the typical children while estimating their language age levels. </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National Institute of Mentally handicapped Socio Economic Scale (NIMH- SES)  (Venkatesan, 2007)  to derive the socio economic status of these children.</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sz w:val="24"/>
          <w:szCs w:val="24"/>
        </w:rPr>
        <w:t>Malin’s Intelligence Scale for Indian Children (MISIC) (Malin, 1969) to estimate the IQ of children with typical language development.</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Inclusion criteria for participants in the Typical Group</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*Participants were school going native speakers of Malayalam.</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*Screened negative on WHO 10 Question Disability Checklist ( Singhi, Kumar, Malhi &amp;Kumar, 2007)</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*Participants should not have any histories of special education needs , speech language or behavioral intervention.</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  middle socio economic status of III on NIMH-SES (Venkatesan,2007)</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*No histories of emotional, behavioral or psychiatric illness.</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 total score of  &gt;283.3 on the Malayalam version of The Linguistic Profile Test (LPT) ( Asha &amp; Karanth,1997)</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lastRenderedPageBreak/>
        <w:t>*Average or above average in studies with no histories of consistent academic failures confirmed with their academic grades.</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 full scale IQ between 90-110 on MISIC, Malin ( 1969).</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*No severe unintelligibly of speech.</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Majority of the children in the clinical group were recruited through State Government secondary and high schools in  South Kerala , Trivandrum. In schools, teachers filled a pre inclusion criteria form for Specific Learning Disorder which was developed by the investigator. Teachers used this form to identify students in their classes who may meet the criterion of SLD. A few children were directly diagnosed by the investigator as SLD using the DSM V criteria  from out   patient units of Pediatric Neurology Department of Government Medical College ,Trivandrum.</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Assessment tools used to screen children in the SLD</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LPT ( Asha &amp;,Karanth,1997) to estimate the language levels.</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MISIC (Malin,1969) to estimate the intelligence quotients of children with SLD</w:t>
      </w:r>
    </w:p>
    <w:p w:rsidR="004F5429" w:rsidRPr="004F5429" w:rsidRDefault="004F5429" w:rsidP="004F5429">
      <w:pPr>
        <w:spacing w:after="0"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Diagnostic &amp; Statistical Manual of Mental Disorders (DSM V)( American Psychiatric Association) (1994) to diagnose SLD with in this group</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Subtests of  Secondary Grader’s Reading Acquisition Profile (Malayalam) (Seetha &amp; Shyamala 2002) to evaluate and confirm children’s below average academic levels.</w:t>
      </w:r>
    </w:p>
    <w:p w:rsidR="004F5429" w:rsidRPr="004F5429" w:rsidRDefault="004F5429" w:rsidP="004F5429">
      <w:pPr>
        <w:spacing w:line="480" w:lineRule="auto"/>
        <w:rPr>
          <w:rFonts w:ascii="Times New Roman" w:eastAsia="Calibri" w:hAnsi="Times New Roman" w:cs="Times New Roman"/>
          <w:sz w:val="20"/>
          <w:szCs w:val="20"/>
        </w:rPr>
      </w:pPr>
      <w:r w:rsidRPr="004F5429">
        <w:rPr>
          <w:rFonts w:ascii="Times New Roman" w:eastAsia="Calibri" w:hAnsi="Times New Roman" w:cs="Times New Roman"/>
          <w:sz w:val="20"/>
          <w:szCs w:val="20"/>
        </w:rPr>
        <w:t xml:space="preserve">*SLD characterized by (a)difficulties with learning and using academic skillsindicated by the presence of inadequate, slow or effortful reading /difficulties in understanding the meaning of what is read/difficulties with spelling/difficulties with written expressions/difficulties in mastering number sense,number facts or calculation /difficulties with mathenmatical reasoning (b)The academic difficulties substantially and quantifiably below those expected for the individual’s chronological ageand  interfere with academic /occupationalperformance/activities of </w:t>
      </w:r>
      <w:r w:rsidRPr="004F5429">
        <w:rPr>
          <w:rFonts w:ascii="Times New Roman" w:eastAsia="Calibri" w:hAnsi="Times New Roman" w:cs="Times New Roman"/>
          <w:sz w:val="20"/>
          <w:szCs w:val="20"/>
        </w:rPr>
        <w:lastRenderedPageBreak/>
        <w:t>daily living/ confirmed by an individually administered standardized achievement measures and clinical assessment.(c)difficulties begin during school years, fully manifested when the demands exceed the limited capacities(d) the difficulties not better accounted for by intellectual disabilities,poor visual or auditory acquity, other mental or neurologicaldisorders ,psycho social adversity, lack of proficiency in the language of academic instruction or in adequate educational instruction.</w:t>
      </w:r>
      <w:r w:rsidR="00B67F69">
        <w:rPr>
          <w:rFonts w:ascii="Times New Roman" w:eastAsia="Calibri" w:hAnsi="Times New Roman" w:cs="Times New Roman"/>
          <w:sz w:val="20"/>
          <w:szCs w:val="20"/>
        </w:rPr>
        <w:t>*</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Inclusion criteria for participants in the clinical group</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*All children in the clinical group met the DSM V criteria of SLD.</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*Oral reading score &lt;25 and Word writing score &lt;21.49 on Reading Acquisition Profile of Secondary Graders  (Malayalam) (Seetha &amp; Shyamala,2002)</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*Combined Reading Score &lt;24.14(males) &amp;&lt; 24.44(females) on Reading Acquisition Profile of Secondary Graders(Malayalam) (Seetha &amp; Shyamala,2002)</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  middle socio economic status of III on NIMH-SES (Venkatesan,2007)</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 full scale IQ  between 90-110 on MISIC, Malin ( 1969).</w:t>
      </w:r>
    </w:p>
    <w:p w:rsid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Out of the total children who were screened for typical language development, a few who did not meet the above mentioned criteria were excluded. The remaining sample of 90 children whose  data  which  met the criteria for typical language development was used in this research and were compared against the clinical group of 45 children who firmly met the diagnostic criteria for SLD as per the DSM V criteria.</w:t>
      </w:r>
    </w:p>
    <w:p w:rsidR="002374AA" w:rsidRDefault="002374AA" w:rsidP="004F5429">
      <w:pPr>
        <w:spacing w:line="480" w:lineRule="auto"/>
        <w:rPr>
          <w:rFonts w:ascii="Times New Roman" w:eastAsia="Calibri" w:hAnsi="Times New Roman" w:cs="Times New Roman"/>
          <w:sz w:val="24"/>
          <w:szCs w:val="24"/>
        </w:rPr>
      </w:pPr>
    </w:p>
    <w:p w:rsidR="002374AA" w:rsidRDefault="002374AA" w:rsidP="004F5429">
      <w:pPr>
        <w:spacing w:line="480" w:lineRule="auto"/>
        <w:rPr>
          <w:rFonts w:ascii="Times New Roman" w:eastAsia="Calibri" w:hAnsi="Times New Roman" w:cs="Times New Roman"/>
          <w:sz w:val="24"/>
          <w:szCs w:val="24"/>
        </w:rPr>
      </w:pPr>
    </w:p>
    <w:p w:rsidR="002374AA" w:rsidRDefault="002374AA" w:rsidP="004F5429">
      <w:pPr>
        <w:spacing w:line="480" w:lineRule="auto"/>
        <w:rPr>
          <w:rFonts w:ascii="Times New Roman" w:eastAsia="Calibri" w:hAnsi="Times New Roman" w:cs="Times New Roman"/>
          <w:sz w:val="24"/>
          <w:szCs w:val="24"/>
        </w:rPr>
      </w:pPr>
    </w:p>
    <w:p w:rsidR="002374AA" w:rsidRPr="004F5429" w:rsidRDefault="002374AA" w:rsidP="004F5429">
      <w:pPr>
        <w:spacing w:line="480" w:lineRule="auto"/>
        <w:rPr>
          <w:rFonts w:ascii="Times New Roman" w:eastAsia="Calibri" w:hAnsi="Times New Roman" w:cs="Times New Roman"/>
          <w:sz w:val="24"/>
          <w:szCs w:val="24"/>
        </w:rPr>
      </w:pPr>
      <w:r w:rsidRPr="002374AA">
        <w:rPr>
          <w:rFonts w:ascii="Times New Roman" w:eastAsia="Calibri" w:hAnsi="Times New Roman" w:cs="Times New Roman"/>
          <w:b/>
          <w:sz w:val="24"/>
          <w:szCs w:val="24"/>
        </w:rPr>
        <w:lastRenderedPageBreak/>
        <w:t>Stimuli used</w:t>
      </w:r>
      <w:r>
        <w:rPr>
          <w:rFonts w:ascii="Times New Roman" w:eastAsia="Calibri" w:hAnsi="Times New Roman" w:cs="Times New Roman"/>
          <w:b/>
          <w:sz w:val="24"/>
          <w:szCs w:val="24"/>
        </w:rPr>
        <w:t xml:space="preserve"> for the research</w:t>
      </w:r>
      <w:r w:rsidR="00805DDC">
        <w:rPr>
          <w:rFonts w:ascii="Times New Roman" w:eastAsia="Calibri" w:hAnsi="Times New Roman" w:cs="Times New Roman"/>
          <w:b/>
          <w:sz w:val="24"/>
          <w:szCs w:val="24"/>
        </w:rPr>
        <w:t xml:space="preserve"> and the procedures devised</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Devising the metapragmatic task</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Documentary literature on the speech act of refusal and the strategies of its polite usage were reviewed in depth. A short conversational interaction between two children depicting   an inappropriate   expression of  refusal while responding to a request was scripted by the investigator using a culture specific theme. The script was scrutinized for errors in grammar and style and  revised  later based on feedback opinions from two local speech pathologists naïve to the research protocol. After repeated rehearsals, two child mimicry artist recruited from a performing art centre in Trivandrum voiced these scripted conversation. Later this voiced script of 41 second duration was edited into a  pendrive  which could be played on a laptop. At the next stage, a set of assessor questions were framed which can explore children’s ability to explicitly talk about the refusal   strategy  applied in the script. It was seen that the assessor questions did not place excessive demands on children’s expressive language. The questions framed were as follows</w:t>
      </w:r>
    </w:p>
    <w:p w:rsidR="004F5429" w:rsidRPr="004F5429" w:rsidRDefault="004F5429" w:rsidP="004F5429">
      <w:pPr>
        <w:numPr>
          <w:ilvl w:val="0"/>
          <w:numId w:val="4"/>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 comprehension Check Question</w:t>
      </w:r>
    </w:p>
    <w:p w:rsidR="004F5429" w:rsidRPr="004F5429" w:rsidRDefault="004F5429" w:rsidP="004F5429">
      <w:pPr>
        <w:numPr>
          <w:ilvl w:val="0"/>
          <w:numId w:val="4"/>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 Descriptive MPA Question</w:t>
      </w:r>
    </w:p>
    <w:p w:rsidR="004F5429" w:rsidRPr="004F5429" w:rsidRDefault="004F5429" w:rsidP="004F5429">
      <w:pPr>
        <w:numPr>
          <w:ilvl w:val="0"/>
          <w:numId w:val="4"/>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 Reflective MPA Question</w:t>
      </w:r>
    </w:p>
    <w:p w:rsidR="004F5429" w:rsidRPr="004F5429" w:rsidRDefault="004F5429" w:rsidP="004F5429">
      <w:pPr>
        <w:numPr>
          <w:ilvl w:val="0"/>
          <w:numId w:val="4"/>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 Metapragmatic Rule Awareness Question</w:t>
      </w:r>
    </w:p>
    <w:p w:rsidR="004F5429" w:rsidRPr="004F5429" w:rsidRDefault="004F5429" w:rsidP="004F5429">
      <w:pPr>
        <w:numPr>
          <w:ilvl w:val="0"/>
          <w:numId w:val="4"/>
        </w:numPr>
        <w:spacing w:line="480" w:lineRule="auto"/>
        <w:contextualSpacing/>
        <w:rPr>
          <w:rFonts w:ascii="Times New Roman" w:eastAsia="Calibri" w:hAnsi="Times New Roman" w:cs="Times New Roman"/>
          <w:sz w:val="24"/>
          <w:szCs w:val="24"/>
        </w:rPr>
      </w:pPr>
      <w:r w:rsidRPr="004F5429">
        <w:rPr>
          <w:rFonts w:ascii="Times New Roman" w:eastAsia="Calibri" w:hAnsi="Times New Roman" w:cs="Times New Roman"/>
          <w:sz w:val="24"/>
          <w:szCs w:val="24"/>
        </w:rPr>
        <w:t>A Deductive MPA Question</w:t>
      </w:r>
    </w:p>
    <w:p w:rsidR="004F5429" w:rsidRPr="004F5429" w:rsidRDefault="006927FF" w:rsidP="004F5429">
      <w:pPr>
        <w:pBdr>
          <w:bottom w:val="single" w:sz="12"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4F5429" w:rsidRPr="004F5429">
        <w:rPr>
          <w:rFonts w:ascii="Times New Roman" w:eastAsia="Calibri" w:hAnsi="Times New Roman" w:cs="Times New Roman"/>
          <w:sz w:val="24"/>
          <w:szCs w:val="24"/>
        </w:rPr>
        <w:t>hese procedures of task development were  adapted from  Metapragmatic Test in Malayalam for adolescents (MTM) (Geethi, Shyamala,2018a),</w:t>
      </w:r>
      <w:r>
        <w:rPr>
          <w:rFonts w:ascii="Times New Roman" w:eastAsia="Calibri" w:hAnsi="Times New Roman" w:cs="Times New Roman"/>
          <w:sz w:val="24"/>
          <w:szCs w:val="24"/>
        </w:rPr>
        <w:t>as given in Table I,</w:t>
      </w:r>
      <w:r w:rsidR="004F5429" w:rsidRPr="004F5429">
        <w:rPr>
          <w:rFonts w:ascii="Times New Roman" w:eastAsia="Calibri" w:hAnsi="Times New Roman" w:cs="Times New Roman"/>
          <w:sz w:val="24"/>
          <w:szCs w:val="24"/>
        </w:rPr>
        <w:t xml:space="preserve"> a standardized measure of MPA in Malayalam  for adolescent children based on Karmiloff-Smith’s (1986) </w:t>
      </w:r>
      <w:r w:rsidR="004F5429" w:rsidRPr="004F5429">
        <w:rPr>
          <w:rFonts w:ascii="Times New Roman" w:eastAsia="Calibri" w:hAnsi="Times New Roman" w:cs="Times New Roman"/>
          <w:sz w:val="24"/>
          <w:szCs w:val="24"/>
        </w:rPr>
        <w:lastRenderedPageBreak/>
        <w:t xml:space="preserve">conceptualization of different levels of metapragmatic explicitness . All these questions elicited children’s ability to reflect explicitly on the linguistic markers depicting pragmatic violation of the strategies of refusing. Through such a method, the authors assumed that children’s optimum MPA and the levels of explicitation could be estimated. </w:t>
      </w:r>
    </w:p>
    <w:p w:rsidR="004F5429" w:rsidRPr="004F5429" w:rsidRDefault="004F5429" w:rsidP="004F5429">
      <w:pPr>
        <w:tabs>
          <w:tab w:val="left" w:pos="5730"/>
        </w:tabs>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The scoring scheme design</w:t>
      </w:r>
      <w:r w:rsidRPr="004F5429">
        <w:rPr>
          <w:rFonts w:ascii="Times New Roman" w:eastAsia="Calibri" w:hAnsi="Times New Roman" w:cs="Times New Roman"/>
          <w:b/>
          <w:sz w:val="24"/>
          <w:szCs w:val="24"/>
        </w:rPr>
        <w:tab/>
      </w:r>
    </w:p>
    <w:p w:rsidR="00805DDC"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A scoring scheme</w:t>
      </w:r>
      <w:r w:rsidR="006927FF">
        <w:rPr>
          <w:rFonts w:ascii="Times New Roman" w:eastAsia="Calibri" w:hAnsi="Times New Roman" w:cs="Times New Roman"/>
          <w:sz w:val="24"/>
          <w:szCs w:val="24"/>
        </w:rPr>
        <w:t xml:space="preserve"> given in Table II</w:t>
      </w:r>
      <w:r w:rsidRPr="004F5429">
        <w:rPr>
          <w:rFonts w:ascii="Times New Roman" w:eastAsia="Calibri" w:hAnsi="Times New Roman" w:cs="Times New Roman"/>
          <w:sz w:val="24"/>
          <w:szCs w:val="24"/>
        </w:rPr>
        <w:t>based on the theoretical concept of levels of metalinguistic explicitation (</w:t>
      </w:r>
      <w:r w:rsidR="006927FF">
        <w:rPr>
          <w:rFonts w:ascii="Times New Roman" w:eastAsia="Calibri" w:hAnsi="Times New Roman" w:cs="Times New Roman"/>
          <w:sz w:val="24"/>
          <w:szCs w:val="24"/>
        </w:rPr>
        <w:t xml:space="preserve"> Geethi, Shyamala, 2018a)</w:t>
      </w:r>
      <w:r w:rsidRPr="004F5429">
        <w:rPr>
          <w:rFonts w:ascii="Times New Roman" w:eastAsia="Calibri" w:hAnsi="Times New Roman" w:cs="Times New Roman"/>
          <w:sz w:val="24"/>
          <w:szCs w:val="24"/>
        </w:rPr>
        <w:t xml:space="preserve">  was used in this research. Non awareness responses (in which the child demonstrated no awareness) and re description responses (where the child repeated the part of the  dialogue ) were  combined to be considered as a  ‘Non-awareness’ category where the child scores ‘0 points’.  When the child repeated the part of the dialogue signaling the inappropriate use of the refusal strategy, it was considered as a ‘secondary level of explicitation’  where the child score ‘1 point’. When the child  explicitly  describe the pragmatic strategy which was violated while expressing the refusal, the child’s utterance was placed at the ‘tertiary level of explicitation’ there by scoring a maximum points of ‘2’. The four assessor questions were assigned a score which related to the level of explicitation the child demonstrated.  The response to comprehension question was assigned a score of ‘0’/ ‘1’ manifesting a dichotomous pass or fail criteria which just ensured that the child has just understood the circumstance in the  recorded conversation .the scores on comprehension check question was not used in the analysis.   Once a child failed the comprehension check question,  the examiner did not proceed with the MPA questions as the comprehension of the dialogues could not be ensured.</w:t>
      </w:r>
    </w:p>
    <w:p w:rsidR="00805DDC" w:rsidRDefault="004F5429" w:rsidP="00805DDC">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lastRenderedPageBreak/>
        <w:t xml:space="preserve">The testing was done in a silent ambiance. All the children participated in the study listened to the recorded conversation after which they responded  verbally to the investigator’s five assessor questions.   The sessions were video recorded for analysis,  responses  were transcribed  on the same day and  assigned a score based on the above mentioned scheme. </w:t>
      </w:r>
    </w:p>
    <w:p w:rsidR="004F5429" w:rsidRPr="004F5429" w:rsidRDefault="00805DDC" w:rsidP="004F5429">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Analyses</w:t>
      </w:r>
    </w:p>
    <w:p w:rsidR="00384A96"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Kruskal-Wallis Test was administered to study the differences between the different age groups with in the typical and SLD groups.</w:t>
      </w:r>
      <w:r w:rsidR="00384A96" w:rsidRPr="00384A96">
        <w:rPr>
          <w:rFonts w:ascii="Times New Roman" w:eastAsia="Calibri" w:hAnsi="Times New Roman" w:cs="Times New Roman"/>
          <w:sz w:val="24"/>
          <w:szCs w:val="24"/>
        </w:rPr>
        <w:t>With in the SLD group,  no significant differences were noticed across the three age bands.With in the normal group, a pair wise age  comparison using the Mann - Whitney Test  was done to investigate the difference in performance between the three age bands.</w:t>
      </w:r>
      <w:r w:rsidR="007011B3">
        <w:rPr>
          <w:rFonts w:ascii="Times New Roman" w:eastAsia="Calibri" w:hAnsi="Times New Roman" w:cs="Times New Roman"/>
          <w:sz w:val="24"/>
          <w:szCs w:val="24"/>
        </w:rPr>
        <w:t xml:space="preserve"> Descriptive statistics was used to estimate the mean and standard deviation.</w:t>
      </w:r>
    </w:p>
    <w:p w:rsidR="00384A96" w:rsidRDefault="00384A96" w:rsidP="004F5429">
      <w:pPr>
        <w:spacing w:line="480" w:lineRule="auto"/>
        <w:rPr>
          <w:rFonts w:ascii="Times New Roman" w:eastAsia="Calibri" w:hAnsi="Times New Roman" w:cs="Times New Roman"/>
          <w:sz w:val="24"/>
          <w:szCs w:val="24"/>
        </w:rPr>
      </w:pPr>
    </w:p>
    <w:p w:rsidR="00384A96" w:rsidRPr="00384A96" w:rsidRDefault="00384A96" w:rsidP="004F5429">
      <w:pPr>
        <w:spacing w:line="480" w:lineRule="auto"/>
        <w:rPr>
          <w:rFonts w:ascii="Times New Roman" w:eastAsia="Calibri" w:hAnsi="Times New Roman" w:cs="Times New Roman"/>
          <w:b/>
          <w:sz w:val="24"/>
          <w:szCs w:val="24"/>
        </w:rPr>
      </w:pPr>
      <w:r w:rsidRPr="00384A96">
        <w:rPr>
          <w:rFonts w:ascii="Times New Roman" w:eastAsia="Calibri" w:hAnsi="Times New Roman" w:cs="Times New Roman"/>
          <w:b/>
          <w:sz w:val="24"/>
          <w:szCs w:val="24"/>
        </w:rPr>
        <w:t>Results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Results revealed significant differences in their mean scores across the three different age bands with in typical group (ꭓ</w:t>
      </w:r>
      <w:r w:rsidRPr="004F5429">
        <w:rPr>
          <w:rFonts w:ascii="Times New Roman" w:eastAsia="Calibri" w:hAnsi="Times New Roman" w:cs="Times New Roman"/>
          <w:sz w:val="24"/>
          <w:szCs w:val="24"/>
          <w:vertAlign w:val="superscript"/>
        </w:rPr>
        <w:t>2</w:t>
      </w:r>
      <w:r w:rsidRPr="004F5429">
        <w:rPr>
          <w:rFonts w:ascii="Times New Roman" w:eastAsia="Calibri" w:hAnsi="Times New Roman" w:cs="Times New Roman"/>
          <w:sz w:val="24"/>
          <w:szCs w:val="24"/>
        </w:rPr>
        <w:t>(2) = 8.569, p &lt; 0.05).With in the SLD group,  no significant differences were noticed across the three three age bands (p&gt;0.05). With in the typical group of adolescent children,  as predicted, significant difference  was found across the three different age groups in the  meta pragmatic awareness scores of expressing refusals.</w:t>
      </w:r>
      <w:r w:rsidR="00FE4319">
        <w:rPr>
          <w:rFonts w:ascii="Times New Roman" w:eastAsia="Calibri" w:hAnsi="Times New Roman" w:cs="Times New Roman"/>
          <w:sz w:val="24"/>
          <w:szCs w:val="24"/>
        </w:rPr>
        <w:t>The descriptive statistics are shown in Table III.</w:t>
      </w:r>
      <w:r w:rsidRPr="004F5429">
        <w:rPr>
          <w:rFonts w:ascii="Times New Roman" w:eastAsia="Calibri" w:hAnsi="Times New Roman" w:cs="Times New Roman"/>
          <w:sz w:val="24"/>
          <w:szCs w:val="24"/>
        </w:rPr>
        <w:t xml:space="preserve"> Its not known whether MPA  of refusal significantly increase in adolescent children with SLDs between 12;0-14;11 age band. Hence  no prediction was made as to whether there would be a significant group difference in SLD group between 12;0 age band and 14;11age band . How ever,with in the SLD group, no significant differences were observed across the three different age levels.</w:t>
      </w:r>
      <w:r w:rsidR="00FE4319">
        <w:rPr>
          <w:rFonts w:ascii="Times New Roman" w:eastAsia="Calibri" w:hAnsi="Times New Roman" w:cs="Times New Roman"/>
          <w:sz w:val="24"/>
          <w:szCs w:val="24"/>
        </w:rPr>
        <w:t>(Descriptive statistics shown in Table IV).</w:t>
      </w:r>
    </w:p>
    <w:p w:rsidR="004F5429" w:rsidRPr="004F5429" w:rsidRDefault="004F5429" w:rsidP="004F5429">
      <w:pPr>
        <w:spacing w:line="480" w:lineRule="auto"/>
        <w:rPr>
          <w:rFonts w:ascii="Times New Roman" w:eastAsia="Calibri" w:hAnsi="Times New Roman" w:cs="Times New Roman"/>
          <w:b/>
          <w:sz w:val="24"/>
          <w:szCs w:val="24"/>
        </w:rPr>
      </w:pPr>
    </w:p>
    <w:p w:rsidR="004F5429" w:rsidRPr="004F5429" w:rsidRDefault="004F5429" w:rsidP="004F5429">
      <w:pPr>
        <w:spacing w:line="480" w:lineRule="auto"/>
        <w:rPr>
          <w:rFonts w:ascii="Times New Roman" w:eastAsia="Calibri" w:hAnsi="Times New Roman" w:cs="Times New Roman"/>
          <w:b/>
          <w:sz w:val="24"/>
          <w:szCs w:val="24"/>
        </w:rPr>
      </w:pP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Between 12;0 -12;11 age band and 13;0 -13;11 age band</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It was noticed that between the 12;0 - 12;11 and 13;0-13;11 age band, a significant difference was observed in the MPA of refusal.( |Z| = 2.767, p&lt;0.05).</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Between 12;0-12;11 age band and 14;0-14;11 age band</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It was seen that between the 12;0 -14;11 age band, no significant difference was observed in the MPA of refusal.  ( |Z| = 1.147, p &gt;0.05)</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b/>
          <w:sz w:val="24"/>
          <w:szCs w:val="24"/>
        </w:rPr>
        <w:t>Between 13;0 -13;11 age bandand 14;0 -14;11 age band</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Between the 13;0 -13;11 and 14;0 -14;11 age band, a significant difference was noticed in the MPA of refusal. (|Z|= 1.223 ,p &lt;0.05)</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Preliminary inspection of the data reveals an advantage for children with TLD in MPA of refusals irrespective of their age levels. The larger standard deviations for the typical group indicate more variance in MPA with in the typical group than the SLD group.  </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 xml:space="preserve">Comparison of performance of Typical and SLD group with in each age group </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sz w:val="24"/>
          <w:szCs w:val="24"/>
        </w:rPr>
        <w:t xml:space="preserve">Mann-Whitney Test revealed no significant difference with in the 12;0 -12;11 age band between cwTLD and cwSLD .   (| Z| = 1.223, p &gt;0.05) </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The distribution of MP scores for the  typical group were found to be significantly different from  the SLD group with in the 13;0 – 13;11 age band.( |Z| = 3.159,     p&lt; 0.05). </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lastRenderedPageBreak/>
        <w:t>A significant difference was  noticed between the typical and SLD group  for MPA scores within the14;0 -14;11 age band also( |Z|= 2.183 , p&lt;0.05).</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Over all, the data reveals a significant difference between the typical and clinical group irrespective of their age bands.( |Z|= 3. 749 ,  p&lt; 0.001)</w:t>
      </w: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Discussion</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The study investigated the adolescent children’s conscious  metapragmatic knowledge of refusals  by tasks involving judgment, explanation and modification of  an expression  of refusal. In this study, the authors considered that the meaning of utterance has to be defined by a social situation or to the linguistic form of the utterance and metapragmatic knowledge could be referred to both of them. Out of the assessor questions which demanded explanation, judgment and justification, the deductive MPA question required children to comment explicitly  on the usages of  politeness strategies as a means to refuse a request.   </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Beebe et al’s  (1990) Taxonomy of  Refusal strategies were applied to do a descriptive analysis based on their responses. It was observed that the youngest age band of SLD  referred to  more number of direct refusal strategies expressing negative willingness such as ‘ I can’t’/ ‘No’ than the children of the same age band with in the typical group. Strategies of postponement, statements of alternatives , self defensing strategies lacking empathy  etc were observed in the metapragmatic comments of children with in the 13-14 age band of typical and SLD group.     More number of children in the highest age band of 14-15 years were   able to refer to the pragmatic rules of conversation applying the strategies of politeness using more complex language forms. Their language contained  explicit metapragmatic awareness markers such as speech act verbs. Remarks expressing empathy, regret and, positive opinions were  used as </w:t>
      </w:r>
      <w:r w:rsidRPr="004F5429">
        <w:rPr>
          <w:rFonts w:ascii="Times New Roman" w:eastAsia="Calibri" w:hAnsi="Times New Roman" w:cs="Times New Roman"/>
          <w:sz w:val="24"/>
          <w:szCs w:val="24"/>
        </w:rPr>
        <w:lastRenderedPageBreak/>
        <w:t xml:space="preserve">adjuncts to their refusals. Further, it was also observed that the prevalence of pragmatic rule  awareness markers was much higher in the 14-15 age band than the younger 12-13 &amp;13-14 age bands and non awareness markers significantly decreased over the higher age levels . </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Performance on the MPA  of refusal task showed a clear progress in cwTLD during their adolescent years. Their mean scores of MPA show a significant increase between the three age bands.i.e. 12;0 -13;11years,13;0-13;11  &amp; 14;0-14:11 years ,their scores gradually improving over the years. Such a gradual improvement in the metapragmatic scores could be correlated to Nippold &amp; Martin (1989)’s  insight that language development in adolescence unfolds in a slow, gradual and protracted manner and becomes obvious only when the  complex linguistic phenomena are analysed in depth and compared against the clinical groups.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Haslett &amp;Bowen (1989) assert that during  mid adolescence, a time of psychological development, emotional transitions and maturational development, there occurs a refinement of communicational skills which helps them to establish better social relationships. The highest median score at 14;0-14;11 age band could be  attributed to the  sophisticated sociolinguistic competence which is believed to emerge during this adolescent period with children developing the ability to alter their speech according to the formality of the situation (Cheshire,1982) and put into practice the social variations present in the speech of adults. However, no research could be found on the metapragmatic awareness of Refusal strategies in particular in children or adolescents against which the present results may be compared. The highest performance of the oldest age group could also be attributed to their  advanced mutual collaboration skills to resolve inter personal conflicts and more complex  level of interpersonal negotiation strategies than those of the younger age groups.(Selman et al,1986) . Changes in the thought processes of adolescents during the period  between 10 and 15 years of age results in communicative developments  such </w:t>
      </w:r>
      <w:r w:rsidRPr="004F5429">
        <w:rPr>
          <w:rFonts w:ascii="Times New Roman" w:eastAsia="Calibri" w:hAnsi="Times New Roman" w:cs="Times New Roman"/>
          <w:sz w:val="24"/>
          <w:szCs w:val="24"/>
        </w:rPr>
        <w:lastRenderedPageBreak/>
        <w:t>as complex verbal reasoning and   more advanced pragmatics. This could be attributed to the major developments during this phase such as a spurt in metacognitive processes, general cognitive development  and social cognition. The development of social cognition  is evidenced as advanced social perspective taking in adolescents which   functions as a base for complex changes in social interactions such as considering interlocutor’s intentions during language use (Nippold,1998).</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Adolescents at the  higher academic grades are exposed to more extensive reading incorporating  advanced syntax, vocabulary  and figurative language  , analyze more complex  texts ,comment explicitly on the text book language by inferring implicit meanings , explicitly define concepts , state assumptions, evaluate  arguments linguistically and discuss texts as a part of their academic curriculum. All these meta cognitive and meta linguistic experiences may  facilitate and foster their metapragmatic abilities to a complex level.Further, it’s also argued that   children with developmental disorders may perform much like younger normally developing   adolescents on their measure of  pragmatic development (Lapadat,1991;Nippold,1993). This suggest that adolescents with a diagnosis of SLD may be delayed in using their interpersonal negotiation strategies .Todate, no research has been carried out , referring directly to the  metapragmatic awareness of children, adolescents  or adults with SLD. Further,  MPA of refusals or  abilities to express refusals  have not been investigated in either young , adolescent  or adult SLD s.  How ever ,the authors of this research  hypothesized that children with dyslexia who do not employ the strategies needed to monitor the  intentions  of others and  who cannot maintain their own behaviors to avoid misunderstandings in communicative interactions may fail to make reflective judgments on the pragmatic aspects of communication such as expressing a  refusal in an appropriate way.  It is documented that pragmatic discourse comprehension and even  </w:t>
      </w:r>
      <w:r w:rsidRPr="004F5429">
        <w:rPr>
          <w:rFonts w:ascii="Times New Roman" w:eastAsia="Calibri" w:hAnsi="Times New Roman" w:cs="Times New Roman"/>
          <w:sz w:val="24"/>
          <w:szCs w:val="24"/>
        </w:rPr>
        <w:lastRenderedPageBreak/>
        <w:t>pragmatic inferencing  impose complex processing demands on working memory as these require integrating multiple and varied aspects of discourse content. Dyslexics are also reported to have difficulties ‘in finding the right word’ to communicate with others and are disadvantaged because of  misjudgments  with in the social sphere. (Chin &amp; Crossman,1995). Lending support to these views, this study revealed that with in the SLD group, no significant differences were found between the three age bands .This  was evidenced with  their  median values which do not consistently improve over the higher age levels.</w:t>
      </w:r>
    </w:p>
    <w:p w:rsidR="004F5429" w:rsidRP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The results of this study revealed that children with SLD performed generally poorer in the MPA task of refusal than the typical children. The difference in performance could be probably  be attributed to their poor language processing skills especially with regard to their  difficulties in choice of words and speech acts and impairments in social perception and weak executive abilities (Lapadat,1991;Cardillo et al 2017). Further, the results of this research are also in agreement to a few investigators’ arguments that children with SLD are less likely to initiate repair in the face of a communicative breakdown (Pearl , Bryan &amp; Donahue,1980 ).           Though the issue of pragmatics and social skills in children with dyslexia are controversial, the results of this research are consistent with a few previous pragmatic investigations on children and adults with dyslexia. (Cardillo et al, 2017; Griffiths, 2007; Mashal &amp; Kasirer, 2012; Abrahamsen &amp; Sprouse,1995 ; Lee &amp; Kamhi,1990) . With in the youngest age band of 12;0-12;11 years, no significant differences were seen in MPA scores of refusals .This finding is consistent with the findings of Cardillo et al (2017) that  10 year old children with dyslexia performed equally well as their typical pairs in their ability to understand the relationship between  emotions and social contexts   measured  using the contextual subtest of APL Medea Battery (Lorussu,2009).</w:t>
      </w:r>
    </w:p>
    <w:p w:rsidR="0075658A" w:rsidRDefault="0075658A" w:rsidP="004F5429">
      <w:pPr>
        <w:spacing w:line="480" w:lineRule="auto"/>
        <w:rPr>
          <w:rFonts w:ascii="Times New Roman" w:eastAsia="Calibri" w:hAnsi="Times New Roman" w:cs="Times New Roman"/>
          <w:b/>
          <w:sz w:val="24"/>
          <w:szCs w:val="24"/>
        </w:rPr>
      </w:pPr>
    </w:p>
    <w:p w:rsidR="004F5429" w:rsidRPr="004F5429" w:rsidRDefault="004F5429" w:rsidP="004F5429">
      <w:pPr>
        <w:spacing w:line="480" w:lineRule="auto"/>
        <w:rPr>
          <w:rFonts w:ascii="Times New Roman" w:eastAsia="Calibri" w:hAnsi="Times New Roman" w:cs="Times New Roman"/>
          <w:b/>
          <w:sz w:val="24"/>
          <w:szCs w:val="24"/>
        </w:rPr>
      </w:pPr>
      <w:r w:rsidRPr="004F5429">
        <w:rPr>
          <w:rFonts w:ascii="Times New Roman" w:eastAsia="Calibri" w:hAnsi="Times New Roman" w:cs="Times New Roman"/>
          <w:b/>
          <w:sz w:val="24"/>
          <w:szCs w:val="24"/>
        </w:rPr>
        <w:t xml:space="preserve">Conclusion    </w:t>
      </w:r>
    </w:p>
    <w:p w:rsidR="004F5429" w:rsidRDefault="004F5429" w:rsidP="004F5429">
      <w:pPr>
        <w:spacing w:line="480" w:lineRule="auto"/>
        <w:rPr>
          <w:rFonts w:ascii="Times New Roman" w:eastAsia="Calibri" w:hAnsi="Times New Roman" w:cs="Times New Roman"/>
          <w:sz w:val="24"/>
          <w:szCs w:val="24"/>
        </w:rPr>
      </w:pPr>
      <w:r w:rsidRPr="004F5429">
        <w:rPr>
          <w:rFonts w:ascii="Times New Roman" w:eastAsia="Calibri" w:hAnsi="Times New Roman" w:cs="Times New Roman"/>
          <w:sz w:val="24"/>
          <w:szCs w:val="24"/>
        </w:rPr>
        <w:t xml:space="preserve"> The study explored one possible intersection between  socio cognitive and linguistic development in adolescents- a research field that has received less attention. The ‘meta awareness’ of   different  social exchanges  and adaptations according to the interpersonal   contexts requires to be examined in adolescents from the scratch. It may start from investigating spontaneous participation in exchange of communicational  acts  to  metapragmatic reflection on applying and cancellation of ‘maxims’  that underlie human communication.  Further metapragmatic awareness may prove to have a valuable role in therapy out comes for  adolescent   children with pragmatic impairments.</w:t>
      </w:r>
    </w:p>
    <w:sectPr w:rsidR="004F5429" w:rsidSect="003A5D34">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C4" w:rsidRDefault="004D4CC4" w:rsidP="0010574F">
      <w:pPr>
        <w:spacing w:after="0" w:line="240" w:lineRule="auto"/>
      </w:pPr>
      <w:r>
        <w:separator/>
      </w:r>
    </w:p>
  </w:endnote>
  <w:endnote w:type="continuationSeparator" w:id="0">
    <w:p w:rsidR="004D4CC4" w:rsidRDefault="004D4CC4" w:rsidP="00105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756112"/>
      <w:docPartObj>
        <w:docPartGallery w:val="Page Numbers (Bottom of Page)"/>
        <w:docPartUnique/>
      </w:docPartObj>
    </w:sdtPr>
    <w:sdtEndPr>
      <w:rPr>
        <w:noProof/>
      </w:rPr>
    </w:sdtEndPr>
    <w:sdtContent>
      <w:p w:rsidR="00FC233C" w:rsidRDefault="00B501DB">
        <w:pPr>
          <w:pStyle w:val="Footer"/>
          <w:jc w:val="right"/>
        </w:pPr>
        <w:r>
          <w:fldChar w:fldCharType="begin"/>
        </w:r>
        <w:r w:rsidR="00FC233C">
          <w:instrText xml:space="preserve"> PAGE   \* MERGEFORMAT </w:instrText>
        </w:r>
        <w:r>
          <w:fldChar w:fldCharType="separate"/>
        </w:r>
        <w:r w:rsidR="008528A3">
          <w:rPr>
            <w:noProof/>
          </w:rPr>
          <w:t>1</w:t>
        </w:r>
        <w:r>
          <w:rPr>
            <w:noProof/>
          </w:rPr>
          <w:fldChar w:fldCharType="end"/>
        </w:r>
      </w:p>
    </w:sdtContent>
  </w:sdt>
  <w:p w:rsidR="00FC233C" w:rsidRDefault="00FC2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C4" w:rsidRDefault="004D4CC4" w:rsidP="0010574F">
      <w:pPr>
        <w:spacing w:after="0" w:line="240" w:lineRule="auto"/>
      </w:pPr>
      <w:r>
        <w:separator/>
      </w:r>
    </w:p>
  </w:footnote>
  <w:footnote w:type="continuationSeparator" w:id="0">
    <w:p w:rsidR="004D4CC4" w:rsidRDefault="004D4CC4" w:rsidP="00105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8A7"/>
    <w:multiLevelType w:val="hybridMultilevel"/>
    <w:tmpl w:val="AA86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53828"/>
    <w:multiLevelType w:val="hybridMultilevel"/>
    <w:tmpl w:val="E102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92FE3"/>
    <w:multiLevelType w:val="hybridMultilevel"/>
    <w:tmpl w:val="4E3CC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33FC8"/>
    <w:multiLevelType w:val="hybridMultilevel"/>
    <w:tmpl w:val="37A4F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1266"/>
  </w:hdrShapeDefaults>
  <w:footnotePr>
    <w:footnote w:id="-1"/>
    <w:footnote w:id="0"/>
  </w:footnotePr>
  <w:endnotePr>
    <w:endnote w:id="-1"/>
    <w:endnote w:id="0"/>
  </w:endnotePr>
  <w:compat/>
  <w:rsids>
    <w:rsidRoot w:val="00725C94"/>
    <w:rsid w:val="0005518B"/>
    <w:rsid w:val="000B5EF6"/>
    <w:rsid w:val="000C7DCF"/>
    <w:rsid w:val="000E40BE"/>
    <w:rsid w:val="0010574F"/>
    <w:rsid w:val="00130D41"/>
    <w:rsid w:val="00151DA7"/>
    <w:rsid w:val="0018136E"/>
    <w:rsid w:val="001A0EA7"/>
    <w:rsid w:val="001A4B33"/>
    <w:rsid w:val="001D27CF"/>
    <w:rsid w:val="002010ED"/>
    <w:rsid w:val="002374AA"/>
    <w:rsid w:val="00270346"/>
    <w:rsid w:val="002D0DDD"/>
    <w:rsid w:val="002D2162"/>
    <w:rsid w:val="002E14FA"/>
    <w:rsid w:val="003317B1"/>
    <w:rsid w:val="00384A96"/>
    <w:rsid w:val="003A5D34"/>
    <w:rsid w:val="003C7CCA"/>
    <w:rsid w:val="003D36BF"/>
    <w:rsid w:val="003F46FB"/>
    <w:rsid w:val="0041108A"/>
    <w:rsid w:val="004672E5"/>
    <w:rsid w:val="004949E0"/>
    <w:rsid w:val="004A07D1"/>
    <w:rsid w:val="004A0846"/>
    <w:rsid w:val="004D4CC4"/>
    <w:rsid w:val="004D4CEA"/>
    <w:rsid w:val="004F5429"/>
    <w:rsid w:val="005B0EEA"/>
    <w:rsid w:val="00605E06"/>
    <w:rsid w:val="006210CA"/>
    <w:rsid w:val="0064023A"/>
    <w:rsid w:val="00646D49"/>
    <w:rsid w:val="0068664B"/>
    <w:rsid w:val="006927FF"/>
    <w:rsid w:val="006C79FC"/>
    <w:rsid w:val="007011B3"/>
    <w:rsid w:val="00725C94"/>
    <w:rsid w:val="00750378"/>
    <w:rsid w:val="0075658A"/>
    <w:rsid w:val="0078139B"/>
    <w:rsid w:val="00805DDC"/>
    <w:rsid w:val="008528A3"/>
    <w:rsid w:val="008B0835"/>
    <w:rsid w:val="008B4D7A"/>
    <w:rsid w:val="00941205"/>
    <w:rsid w:val="0095025C"/>
    <w:rsid w:val="009632BD"/>
    <w:rsid w:val="00985CB7"/>
    <w:rsid w:val="0099234C"/>
    <w:rsid w:val="00997B56"/>
    <w:rsid w:val="009D0022"/>
    <w:rsid w:val="009D4011"/>
    <w:rsid w:val="009E0C5D"/>
    <w:rsid w:val="00A116EC"/>
    <w:rsid w:val="00A43529"/>
    <w:rsid w:val="00AB56DC"/>
    <w:rsid w:val="00AE373B"/>
    <w:rsid w:val="00B46F2A"/>
    <w:rsid w:val="00B501DB"/>
    <w:rsid w:val="00B67F69"/>
    <w:rsid w:val="00BB1D74"/>
    <w:rsid w:val="00BE4B37"/>
    <w:rsid w:val="00BF3A18"/>
    <w:rsid w:val="00C97746"/>
    <w:rsid w:val="00CA3DA0"/>
    <w:rsid w:val="00CA44F0"/>
    <w:rsid w:val="00CB32A0"/>
    <w:rsid w:val="00CB441D"/>
    <w:rsid w:val="00D142C8"/>
    <w:rsid w:val="00D95F0B"/>
    <w:rsid w:val="00DF2728"/>
    <w:rsid w:val="00E07C97"/>
    <w:rsid w:val="00E30781"/>
    <w:rsid w:val="00E41E9D"/>
    <w:rsid w:val="00EF7F8B"/>
    <w:rsid w:val="00F16586"/>
    <w:rsid w:val="00F31D4A"/>
    <w:rsid w:val="00F36429"/>
    <w:rsid w:val="00F70E24"/>
    <w:rsid w:val="00FC233C"/>
    <w:rsid w:val="00FE43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F0"/>
    <w:pPr>
      <w:ind w:left="720"/>
      <w:contextualSpacing/>
    </w:pPr>
  </w:style>
  <w:style w:type="numbering" w:customStyle="1" w:styleId="NoList1">
    <w:name w:val="No List1"/>
    <w:next w:val="NoList"/>
    <w:uiPriority w:val="99"/>
    <w:semiHidden/>
    <w:unhideWhenUsed/>
    <w:rsid w:val="004F5429"/>
  </w:style>
  <w:style w:type="paragraph" w:styleId="Header">
    <w:name w:val="header"/>
    <w:basedOn w:val="Normal"/>
    <w:link w:val="HeaderChar"/>
    <w:uiPriority w:val="99"/>
    <w:unhideWhenUsed/>
    <w:rsid w:val="004F542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F5429"/>
    <w:rPr>
      <w:rFonts w:ascii="Calibri" w:eastAsia="Calibri" w:hAnsi="Calibri" w:cs="Times New Roman"/>
    </w:rPr>
  </w:style>
  <w:style w:type="paragraph" w:styleId="Footer">
    <w:name w:val="footer"/>
    <w:basedOn w:val="Normal"/>
    <w:link w:val="FooterChar"/>
    <w:uiPriority w:val="99"/>
    <w:unhideWhenUsed/>
    <w:rsid w:val="004F542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F5429"/>
    <w:rPr>
      <w:rFonts w:ascii="Calibri" w:eastAsia="Calibri" w:hAnsi="Calibri" w:cs="Times New Roman"/>
    </w:rPr>
  </w:style>
  <w:style w:type="paragraph" w:styleId="BalloonText">
    <w:name w:val="Balloon Text"/>
    <w:basedOn w:val="Normal"/>
    <w:link w:val="BalloonTextChar"/>
    <w:uiPriority w:val="99"/>
    <w:semiHidden/>
    <w:unhideWhenUsed/>
    <w:rsid w:val="004F542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F5429"/>
    <w:rPr>
      <w:rFonts w:ascii="Tahoma" w:eastAsia="Calibri" w:hAnsi="Tahoma" w:cs="Tahoma"/>
      <w:sz w:val="16"/>
      <w:szCs w:val="16"/>
    </w:rPr>
  </w:style>
  <w:style w:type="paragraph" w:customStyle="1" w:styleId="3CBD5A742C28424DA5172AD252E32316">
    <w:name w:val="3CBD5A742C28424DA5172AD252E32316"/>
    <w:rsid w:val="004F5429"/>
    <w:rPr>
      <w:rFonts w:ascii="Calibri" w:eastAsia="MS Mincho" w:hAnsi="Calibri" w:cs="Arial"/>
      <w:lang w:eastAsia="ja-JP"/>
    </w:rPr>
  </w:style>
  <w:style w:type="table" w:styleId="TableGrid">
    <w:name w:val="Table Grid"/>
    <w:basedOn w:val="TableNormal"/>
    <w:uiPriority w:val="59"/>
    <w:rsid w:val="004F54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F542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F0"/>
    <w:pPr>
      <w:ind w:left="720"/>
      <w:contextualSpacing/>
    </w:pPr>
  </w:style>
  <w:style w:type="numbering" w:customStyle="1" w:styleId="NoList1">
    <w:name w:val="No List1"/>
    <w:next w:val="NoList"/>
    <w:uiPriority w:val="99"/>
    <w:semiHidden/>
    <w:unhideWhenUsed/>
    <w:rsid w:val="004F5429"/>
  </w:style>
  <w:style w:type="paragraph" w:styleId="Header">
    <w:name w:val="header"/>
    <w:basedOn w:val="Normal"/>
    <w:link w:val="HeaderChar"/>
    <w:uiPriority w:val="99"/>
    <w:unhideWhenUsed/>
    <w:rsid w:val="004F542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F5429"/>
    <w:rPr>
      <w:rFonts w:ascii="Calibri" w:eastAsia="Calibri" w:hAnsi="Calibri" w:cs="Times New Roman"/>
    </w:rPr>
  </w:style>
  <w:style w:type="paragraph" w:styleId="Footer">
    <w:name w:val="footer"/>
    <w:basedOn w:val="Normal"/>
    <w:link w:val="FooterChar"/>
    <w:uiPriority w:val="99"/>
    <w:unhideWhenUsed/>
    <w:rsid w:val="004F542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F5429"/>
    <w:rPr>
      <w:rFonts w:ascii="Calibri" w:eastAsia="Calibri" w:hAnsi="Calibri" w:cs="Times New Roman"/>
    </w:rPr>
  </w:style>
  <w:style w:type="paragraph" w:styleId="BalloonText">
    <w:name w:val="Balloon Text"/>
    <w:basedOn w:val="Normal"/>
    <w:link w:val="BalloonTextChar"/>
    <w:uiPriority w:val="99"/>
    <w:semiHidden/>
    <w:unhideWhenUsed/>
    <w:rsid w:val="004F542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F5429"/>
    <w:rPr>
      <w:rFonts w:ascii="Tahoma" w:eastAsia="Calibri" w:hAnsi="Tahoma" w:cs="Tahoma"/>
      <w:sz w:val="16"/>
      <w:szCs w:val="16"/>
    </w:rPr>
  </w:style>
  <w:style w:type="paragraph" w:customStyle="1" w:styleId="3CBD5A742C28424DA5172AD252E32316">
    <w:name w:val="3CBD5A742C28424DA5172AD252E32316"/>
    <w:rsid w:val="004F5429"/>
    <w:rPr>
      <w:rFonts w:ascii="Calibri" w:eastAsia="MS Mincho" w:hAnsi="Calibri" w:cs="Arial"/>
      <w:lang w:eastAsia="ja-JP"/>
    </w:rPr>
  </w:style>
  <w:style w:type="table" w:styleId="TableGrid">
    <w:name w:val="Table Grid"/>
    <w:basedOn w:val="TableNormal"/>
    <w:uiPriority w:val="59"/>
    <w:rsid w:val="004F54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F542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05B7-987B-4E82-90D5-3333CD4C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5983</Words>
  <Characters>34105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40008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Shijith Kumar C</cp:lastModifiedBy>
  <cp:revision>2</cp:revision>
  <cp:lastPrinted>2018-05-20T17:11:00Z</cp:lastPrinted>
  <dcterms:created xsi:type="dcterms:W3CDTF">2018-06-15T12:09:00Z</dcterms:created>
  <dcterms:modified xsi:type="dcterms:W3CDTF">2018-06-15T12:09:00Z</dcterms:modified>
</cp:coreProperties>
</file>