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38" w:rsidRPr="000D0D43" w:rsidRDefault="00564938" w:rsidP="004138F1">
      <w:pPr>
        <w:tabs>
          <w:tab w:val="left" w:pos="967"/>
        </w:tabs>
        <w:jc w:val="center"/>
        <w:rPr>
          <w:rFonts w:ascii="Times New Roman" w:hAnsi="Times New Roman" w:cs="Times New Roman"/>
          <w:b/>
          <w:sz w:val="20"/>
          <w:szCs w:val="20"/>
          <w:u w:val="single"/>
        </w:rPr>
      </w:pPr>
      <w:bookmarkStart w:id="0" w:name="_Toc297892977"/>
      <w:r w:rsidRPr="000D0D43">
        <w:rPr>
          <w:rFonts w:ascii="Times New Roman" w:hAnsi="Times New Roman" w:cs="Times New Roman"/>
          <w:b/>
          <w:sz w:val="20"/>
          <w:szCs w:val="20"/>
          <w:u w:val="single"/>
        </w:rPr>
        <w:t>Flowchart-II</w:t>
      </w:r>
    </w:p>
    <w:p w:rsidR="00C20CBD" w:rsidRDefault="00DF7F64" w:rsidP="004138F1">
      <w:pPr>
        <w:tabs>
          <w:tab w:val="left" w:pos="967"/>
        </w:tabs>
        <w:jc w:val="center"/>
        <w:rPr>
          <w:rFonts w:ascii="Times New Roman" w:hAnsi="Times New Roman"/>
          <w:b/>
          <w:color w:val="000000" w:themeColor="text1"/>
          <w:sz w:val="20"/>
          <w:szCs w:val="20"/>
        </w:rPr>
      </w:pPr>
      <w:r w:rsidRPr="0079194C">
        <w:rPr>
          <w:rFonts w:ascii="Times New Roman" w:hAnsi="Times New Roman" w:cs="Times New Roman"/>
          <w:b/>
          <w:sz w:val="20"/>
          <w:szCs w:val="20"/>
        </w:rPr>
        <w:t xml:space="preserve">Process/Activity Flow </w:t>
      </w:r>
      <w:r w:rsidR="00F27203" w:rsidRPr="0079194C">
        <w:rPr>
          <w:rFonts w:ascii="Times New Roman" w:hAnsi="Times New Roman" w:cs="Times New Roman"/>
          <w:b/>
          <w:sz w:val="20"/>
          <w:szCs w:val="20"/>
        </w:rPr>
        <w:t>C</w:t>
      </w:r>
      <w:r w:rsidRPr="0079194C">
        <w:rPr>
          <w:rFonts w:ascii="Times New Roman" w:hAnsi="Times New Roman" w:cs="Times New Roman"/>
          <w:b/>
          <w:sz w:val="20"/>
          <w:szCs w:val="20"/>
        </w:rPr>
        <w:t>hart</w:t>
      </w:r>
      <w:r w:rsidR="000D0D43">
        <w:rPr>
          <w:rFonts w:ascii="Times New Roman" w:hAnsi="Times New Roman" w:cs="Times New Roman"/>
          <w:b/>
          <w:sz w:val="20"/>
          <w:szCs w:val="20"/>
        </w:rPr>
        <w:t xml:space="preserve"> – Information Processing (</w:t>
      </w:r>
      <w:r w:rsidRPr="0079194C">
        <w:rPr>
          <w:rFonts w:ascii="Times New Roman" w:hAnsi="Times New Roman" w:cs="Times New Roman"/>
          <w:b/>
          <w:color w:val="000000" w:themeColor="text1"/>
          <w:sz w:val="20"/>
          <w:szCs w:val="20"/>
        </w:rPr>
        <w:t>Information Process</w:t>
      </w:r>
      <w:r w:rsidRPr="004353EA">
        <w:rPr>
          <w:rFonts w:ascii="Times New Roman" w:hAnsi="Times New Roman"/>
          <w:b/>
          <w:color w:val="000000" w:themeColor="text1"/>
          <w:sz w:val="20"/>
          <w:szCs w:val="20"/>
        </w:rPr>
        <w:t>ing</w:t>
      </w:r>
      <w:r w:rsidR="004138F1">
        <w:rPr>
          <w:rFonts w:ascii="Times New Roman" w:hAnsi="Times New Roman"/>
          <w:b/>
          <w:color w:val="000000" w:themeColor="text1"/>
          <w:sz w:val="20"/>
          <w:szCs w:val="20"/>
        </w:rPr>
        <w:t xml:space="preserve"> of </w:t>
      </w:r>
      <w:r w:rsidR="000D0D43">
        <w:rPr>
          <w:rFonts w:ascii="Times New Roman" w:hAnsi="Times New Roman"/>
          <w:b/>
          <w:color w:val="000000" w:themeColor="text1"/>
          <w:sz w:val="20"/>
          <w:szCs w:val="20"/>
        </w:rPr>
        <w:t xml:space="preserve">Print </w:t>
      </w:r>
      <w:r w:rsidR="0093690B">
        <w:rPr>
          <w:rFonts w:ascii="Times New Roman" w:hAnsi="Times New Roman"/>
          <w:b/>
          <w:color w:val="000000" w:themeColor="text1"/>
          <w:sz w:val="20"/>
          <w:szCs w:val="20"/>
        </w:rPr>
        <w:t>Resources</w:t>
      </w:r>
      <w:r w:rsidR="000D0D43">
        <w:rPr>
          <w:rFonts w:ascii="Times New Roman" w:hAnsi="Times New Roman"/>
          <w:b/>
          <w:color w:val="000000" w:themeColor="text1"/>
          <w:sz w:val="20"/>
          <w:szCs w:val="20"/>
        </w:rPr>
        <w:t>)</w:t>
      </w:r>
    </w:p>
    <w:p w:rsidR="000D0D43" w:rsidRDefault="00A22E45" w:rsidP="004138F1">
      <w:pPr>
        <w:tabs>
          <w:tab w:val="left" w:pos="967"/>
        </w:tabs>
        <w:jc w:val="center"/>
        <w:rPr>
          <w:rFonts w:ascii="Times New Roman" w:hAnsi="Times New Roman"/>
          <w:b/>
          <w:color w:val="000000" w:themeColor="text1"/>
          <w:sz w:val="20"/>
          <w:szCs w:val="20"/>
        </w:rPr>
      </w:pPr>
      <w:r w:rsidRPr="00A22E45">
        <w:rPr>
          <w:noProof/>
        </w:rPr>
        <w:pict>
          <v:oval id="_x0000_s1712" style="position:absolute;left:0;text-align:left;margin-left:170pt;margin-top:17.1pt;width:125.75pt;height:33.9pt;z-index:252175360">
            <v:textbox style="mso-next-textbox:#_x0000_s1712">
              <w:txbxContent>
                <w:p w:rsidR="00C52BCC" w:rsidRPr="00D74625" w:rsidRDefault="00C52BCC" w:rsidP="00100ABA">
                  <w:pPr>
                    <w:jc w:val="center"/>
                    <w:rPr>
                      <w:rFonts w:ascii="Times New Roman" w:hAnsi="Times New Roman" w:cs="Times New Roman"/>
                      <w:sz w:val="12"/>
                      <w:szCs w:val="12"/>
                    </w:rPr>
                  </w:pPr>
                  <w:r>
                    <w:rPr>
                      <w:rFonts w:ascii="Times New Roman" w:hAnsi="Times New Roman" w:cs="Times New Roman"/>
                      <w:sz w:val="12"/>
                      <w:szCs w:val="12"/>
                    </w:rPr>
                    <w:t>Accessioned Print Resources</w:t>
                  </w:r>
                </w:p>
                <w:p w:rsidR="00C52BCC" w:rsidRPr="00100ABA" w:rsidRDefault="00C52BCC" w:rsidP="00100ABA">
                  <w:pPr>
                    <w:rPr>
                      <w:szCs w:val="12"/>
                    </w:rPr>
                  </w:pPr>
                </w:p>
              </w:txbxContent>
            </v:textbox>
          </v:oval>
        </w:pict>
      </w:r>
    </w:p>
    <w:p w:rsidR="004138F1" w:rsidRDefault="00A22E45" w:rsidP="004138F1">
      <w:r>
        <w:rPr>
          <w:noProof/>
        </w:rPr>
        <w:pict>
          <v:shapetype id="_x0000_t32" coordsize="21600,21600" o:spt="32" o:oned="t" path="m,l21600,21600e" filled="f">
            <v:path arrowok="t" fillok="f" o:connecttype="none"/>
            <o:lock v:ext="edit" shapetype="t"/>
          </v:shapetype>
          <v:shape id="_x0000_s1736" type="#_x0000_t32" style="position:absolute;margin-left:280.25pt;margin-top:193.3pt;width:41.9pt;height:0;z-index:252199936" o:connectortype="straight">
            <v:stroke endarrow="block"/>
          </v:shape>
        </w:pict>
      </w:r>
      <w:r>
        <w:rPr>
          <w:noProof/>
        </w:rPr>
        <w:pict>
          <v:shape id="_x0000_s1727" type="#_x0000_t32" style="position:absolute;margin-left:230.4pt;margin-top:164.5pt;width:0;height:15.35pt;z-index:252190720" o:connectortype="straight">
            <v:stroke endarrow="block"/>
          </v:shape>
        </w:pict>
      </w:r>
      <w:r>
        <w:rPr>
          <w:noProof/>
        </w:rPr>
        <w:pict>
          <v:rect id="_x0000_s1730" style="position:absolute;margin-left:183.3pt;margin-top:143.55pt;width:96.95pt;height:20.95pt;z-index:252193792">
            <v:textbox style="mso-next-textbox:#_x0000_s1730">
              <w:txbxContent>
                <w:p w:rsidR="00C52BCC" w:rsidRPr="00591442" w:rsidRDefault="00C52BCC" w:rsidP="004138F1">
                  <w:pPr>
                    <w:jc w:val="center"/>
                    <w:rPr>
                      <w:rFonts w:ascii="Times New Roman" w:hAnsi="Times New Roman" w:cs="Times New Roman"/>
                      <w:sz w:val="12"/>
                      <w:szCs w:val="12"/>
                    </w:rPr>
                  </w:pPr>
                  <w:r>
                    <w:rPr>
                      <w:rFonts w:ascii="Times New Roman" w:hAnsi="Times New Roman" w:cs="Times New Roman"/>
                      <w:sz w:val="12"/>
                      <w:szCs w:val="12"/>
                    </w:rPr>
                    <w:t xml:space="preserve">Assigning class number </w:t>
                  </w:r>
                </w:p>
                <w:p w:rsidR="00C52BCC" w:rsidRPr="00EB495B" w:rsidRDefault="00C52BCC" w:rsidP="004138F1"/>
              </w:txbxContent>
            </v:textbox>
          </v:rect>
        </w:pict>
      </w:r>
      <w:r>
        <w:rPr>
          <w:noProof/>
        </w:rPr>
        <w:pict>
          <v:shape id="_x0000_s1726" type="#_x0000_t32" style="position:absolute;margin-left:230.4pt;margin-top:128.2pt;width:0;height:15.35pt;z-index:252189696" o:connectortype="straight">
            <v:stroke endarrow="block"/>
          </v:shape>
        </w:pict>
      </w:r>
      <w:r>
        <w:rPr>
          <w:noProof/>
        </w:rPr>
        <w:pict>
          <v:rect id="_x0000_s1721" style="position:absolute;margin-left:183.3pt;margin-top:102.3pt;width:96.95pt;height:25.9pt;z-index:252184576">
            <v:textbox style="mso-next-textbox:#_x0000_s1721">
              <w:txbxContent>
                <w:p w:rsidR="00C52BCC" w:rsidRPr="00591442" w:rsidRDefault="00C52BCC" w:rsidP="004138F1">
                  <w:pPr>
                    <w:jc w:val="center"/>
                    <w:rPr>
                      <w:rFonts w:ascii="Times New Roman" w:hAnsi="Times New Roman" w:cs="Times New Roman"/>
                      <w:sz w:val="12"/>
                      <w:szCs w:val="12"/>
                    </w:rPr>
                  </w:pPr>
                  <w:r w:rsidRPr="00591442">
                    <w:rPr>
                      <w:rFonts w:ascii="Times New Roman" w:hAnsi="Times New Roman" w:cs="Times New Roman"/>
                      <w:sz w:val="12"/>
                      <w:szCs w:val="12"/>
                    </w:rPr>
                    <w:t>Content analysis and determining the subject</w:t>
                  </w:r>
                </w:p>
                <w:p w:rsidR="00C52BCC" w:rsidRPr="00EB495B" w:rsidRDefault="00C52BCC" w:rsidP="004138F1"/>
              </w:txbxContent>
            </v:textbox>
          </v:rect>
        </w:pict>
      </w:r>
      <w:r>
        <w:rPr>
          <w:noProof/>
        </w:rPr>
        <w:pict>
          <v:shape id="_x0000_s1724" type="#_x0000_t32" style="position:absolute;margin-left:230.4pt;margin-top:86.95pt;width:0;height:15.35pt;z-index:252187648" o:connectortype="straight">
            <v:stroke endarrow="block"/>
          </v:shape>
        </w:pict>
      </w:r>
      <w:r>
        <w:rPr>
          <w:noProof/>
        </w:rPr>
        <w:pict>
          <v:rect id="_x0000_s1718" style="position:absolute;margin-left:190pt;margin-top:69.8pt;width:78.55pt;height:17.15pt;z-index:252181504">
            <v:textbox style="mso-next-textbox:#_x0000_s1718">
              <w:txbxContent>
                <w:p w:rsidR="00C52BCC" w:rsidRPr="00D74625" w:rsidRDefault="00C52BCC" w:rsidP="004138F1">
                  <w:pPr>
                    <w:jc w:val="center"/>
                    <w:rPr>
                      <w:rFonts w:ascii="Times New Roman" w:hAnsi="Times New Roman" w:cs="Times New Roman"/>
                      <w:sz w:val="12"/>
                      <w:szCs w:val="12"/>
                    </w:rPr>
                  </w:pPr>
                  <w:r>
                    <w:rPr>
                      <w:rFonts w:ascii="Times New Roman" w:hAnsi="Times New Roman" w:cs="Times New Roman"/>
                      <w:sz w:val="12"/>
                      <w:szCs w:val="12"/>
                    </w:rPr>
                    <w:t>Books</w:t>
                  </w:r>
                </w:p>
                <w:p w:rsidR="00C52BCC" w:rsidRPr="00EB495B" w:rsidRDefault="00C52BCC" w:rsidP="004138F1"/>
              </w:txbxContent>
            </v:textbox>
          </v:rect>
        </w:pict>
      </w:r>
      <w:r>
        <w:rPr>
          <w:noProof/>
        </w:rPr>
        <w:pict>
          <v:shape id="_x0000_s1722" type="#_x0000_t32" style="position:absolute;margin-left:230.4pt;margin-top:54.45pt;width:0;height:15.35pt;z-index:252185600" o:connectortype="straight">
            <v:stroke endarrow="block"/>
          </v:shape>
        </w:pict>
      </w:r>
    </w:p>
    <w:p w:rsidR="004138F1" w:rsidRDefault="00A22E45" w:rsidP="004138F1">
      <w:pPr>
        <w:tabs>
          <w:tab w:val="left" w:pos="967"/>
        </w:tabs>
        <w:ind w:left="-720"/>
        <w:jc w:val="center"/>
        <w:rPr>
          <w:noProof/>
        </w:rPr>
      </w:pPr>
      <w:r>
        <w:rPr>
          <w:noProof/>
        </w:rPr>
        <w:pict>
          <v:shape id="_x0000_s1713" type="#_x0000_t32" style="position:absolute;left:0;text-align:left;margin-left:230.45pt;margin-top:2.35pt;width:0;height:26.6pt;z-index:252176384" o:connectortype="straight"/>
        </w:pict>
      </w:r>
      <w:r w:rsidR="0068523D">
        <w:rPr>
          <w:noProof/>
        </w:rPr>
        <w:t xml:space="preserve">                      </w:t>
      </w:r>
    </w:p>
    <w:p w:rsidR="00C20CBD" w:rsidRDefault="00A22E45" w:rsidP="00C20CBD">
      <w:pPr>
        <w:rPr>
          <w:noProof/>
        </w:rPr>
      </w:pPr>
      <w:r>
        <w:rPr>
          <w:noProof/>
        </w:rPr>
        <w:pict>
          <v:shape id="_x0000_s1731" type="#_x0000_t32" style="position:absolute;margin-left:230.45pt;margin-top:3.5pt;width:0;height:.2pt;flip:y;z-index:252194816" o:connectortype="straight"/>
        </w:pict>
      </w:r>
      <w:r>
        <w:rPr>
          <w:noProof/>
        </w:rPr>
        <w:pict>
          <v:rect id="_x0000_s1719" style="position:absolute;margin-left:395.55pt;margin-top:19.05pt;width:78.55pt;height:22.55pt;z-index:252182528">
            <v:textbox style="mso-next-textbox:#_x0000_s1719">
              <w:txbxContent>
                <w:p w:rsidR="00C52BCC" w:rsidRPr="00D74625" w:rsidRDefault="00C52BCC" w:rsidP="004138F1">
                  <w:pPr>
                    <w:jc w:val="center"/>
                    <w:rPr>
                      <w:rFonts w:ascii="Times New Roman" w:hAnsi="Times New Roman" w:cs="Times New Roman"/>
                      <w:sz w:val="12"/>
                      <w:szCs w:val="12"/>
                    </w:rPr>
                  </w:pPr>
                  <w:r>
                    <w:rPr>
                      <w:rFonts w:ascii="Times New Roman" w:hAnsi="Times New Roman" w:cs="Times New Roman"/>
                      <w:sz w:val="12"/>
                      <w:szCs w:val="12"/>
                    </w:rPr>
                    <w:t>Research reports and institute publications</w:t>
                  </w:r>
                </w:p>
                <w:p w:rsidR="00C52BCC" w:rsidRPr="00EB495B" w:rsidRDefault="00C52BCC" w:rsidP="004138F1"/>
              </w:txbxContent>
            </v:textbox>
          </v:rect>
        </w:pict>
      </w:r>
      <w:r>
        <w:rPr>
          <w:noProof/>
        </w:rPr>
        <w:pict>
          <v:rect id="_x0000_s1717" style="position:absolute;margin-left:6.15pt;margin-top:19.05pt;width:78.55pt;height:17.15pt;z-index:252180480">
            <v:textbox style="mso-next-textbox:#_x0000_s1717">
              <w:txbxContent>
                <w:p w:rsidR="00C52BCC" w:rsidRPr="00D74625" w:rsidRDefault="00C52BCC" w:rsidP="004138F1">
                  <w:pPr>
                    <w:jc w:val="center"/>
                    <w:rPr>
                      <w:rFonts w:ascii="Times New Roman" w:hAnsi="Times New Roman" w:cs="Times New Roman"/>
                      <w:sz w:val="12"/>
                      <w:szCs w:val="12"/>
                    </w:rPr>
                  </w:pPr>
                  <w:r>
                    <w:rPr>
                      <w:rFonts w:ascii="Times New Roman" w:hAnsi="Times New Roman" w:cs="Times New Roman"/>
                      <w:sz w:val="12"/>
                      <w:szCs w:val="12"/>
                    </w:rPr>
                    <w:t>Journals</w:t>
                  </w:r>
                </w:p>
                <w:p w:rsidR="00C52BCC" w:rsidRPr="00EB495B" w:rsidRDefault="00C52BCC" w:rsidP="004138F1"/>
              </w:txbxContent>
            </v:textbox>
          </v:rect>
        </w:pict>
      </w:r>
      <w:r>
        <w:rPr>
          <w:noProof/>
        </w:rPr>
        <w:pict>
          <v:shape id="_x0000_s1715" type="#_x0000_t32" style="position:absolute;margin-left:46.2pt;margin-top:3.7pt;width:0;height:15.35pt;z-index:252178432" o:connectortype="straight">
            <v:stroke endarrow="block"/>
          </v:shape>
        </w:pict>
      </w:r>
      <w:r>
        <w:rPr>
          <w:noProof/>
        </w:rPr>
        <w:pict>
          <v:shape id="_x0000_s1714" type="#_x0000_t32" style="position:absolute;margin-left:46.2pt;margin-top:3.55pt;width:389.5pt;height:0;z-index:252177408" o:connectortype="straight"/>
        </w:pict>
      </w:r>
      <w:r>
        <w:rPr>
          <w:noProof/>
        </w:rPr>
        <w:pict>
          <v:shape id="_x0000_s1723" type="#_x0000_t32" style="position:absolute;margin-left:435.7pt;margin-top:3.7pt;width:0;height:15.35pt;z-index:252186624" o:connectortype="straight">
            <v:stroke endarrow="block"/>
          </v:shape>
        </w:pict>
      </w:r>
    </w:p>
    <w:p w:rsidR="00100ABA" w:rsidRDefault="00A22E45" w:rsidP="00C20CBD">
      <w:pPr>
        <w:tabs>
          <w:tab w:val="left" w:pos="967"/>
        </w:tabs>
      </w:pPr>
      <w:r>
        <w:rPr>
          <w:noProof/>
          <w:lang w:bidi="hi-IN"/>
        </w:rPr>
        <w:pict>
          <v:oval id="_x0000_s43771" style="position:absolute;margin-left:.75pt;margin-top:26.15pt;width:88.1pt;height:53.2pt;z-index:253000704">
            <v:textbox style="mso-next-textbox:#_x0000_s43771">
              <w:txbxContent>
                <w:p w:rsidR="00C52BCC" w:rsidRPr="00D74625" w:rsidRDefault="00C52BCC" w:rsidP="00100ABA">
                  <w:pPr>
                    <w:jc w:val="center"/>
                    <w:rPr>
                      <w:rFonts w:ascii="Times New Roman" w:hAnsi="Times New Roman" w:cs="Times New Roman"/>
                      <w:sz w:val="12"/>
                      <w:szCs w:val="12"/>
                    </w:rPr>
                  </w:pPr>
                  <w:r>
                    <w:rPr>
                      <w:rFonts w:ascii="Times New Roman" w:hAnsi="Times New Roman" w:cs="Times New Roman"/>
                      <w:sz w:val="12"/>
                      <w:szCs w:val="12"/>
                    </w:rPr>
                    <w:t xml:space="preserve">Arranging the journals </w:t>
                  </w:r>
                  <w:r w:rsidRPr="00D74625">
                    <w:rPr>
                      <w:rFonts w:ascii="Times New Roman" w:hAnsi="Times New Roman" w:cs="Times New Roman"/>
                      <w:sz w:val="12"/>
                      <w:szCs w:val="12"/>
                    </w:rPr>
                    <w:t xml:space="preserve">on </w:t>
                  </w:r>
                  <w:r>
                    <w:rPr>
                      <w:rFonts w:ascii="Times New Roman" w:hAnsi="Times New Roman" w:cs="Times New Roman"/>
                      <w:sz w:val="12"/>
                      <w:szCs w:val="12"/>
                    </w:rPr>
                    <w:t xml:space="preserve">labeled </w:t>
                  </w:r>
                  <w:r w:rsidRPr="00D74625">
                    <w:rPr>
                      <w:rFonts w:ascii="Times New Roman" w:hAnsi="Times New Roman" w:cs="Times New Roman"/>
                      <w:sz w:val="12"/>
                      <w:szCs w:val="12"/>
                    </w:rPr>
                    <w:t>shelves</w:t>
                  </w:r>
                  <w:r>
                    <w:rPr>
                      <w:rFonts w:ascii="Times New Roman" w:hAnsi="Times New Roman" w:cs="Times New Roman"/>
                      <w:sz w:val="12"/>
                      <w:szCs w:val="12"/>
                    </w:rPr>
                    <w:t xml:space="preserve"> in periodical section</w:t>
                  </w:r>
                </w:p>
                <w:p w:rsidR="00C52BCC" w:rsidRPr="00100ABA" w:rsidRDefault="00C52BCC" w:rsidP="00100ABA">
                  <w:pPr>
                    <w:rPr>
                      <w:szCs w:val="12"/>
                    </w:rPr>
                  </w:pPr>
                </w:p>
              </w:txbxContent>
            </v:textbox>
          </v:oval>
        </w:pict>
      </w:r>
      <w:r>
        <w:rPr>
          <w:noProof/>
          <w:lang w:bidi="hi-IN"/>
        </w:rPr>
        <w:pict>
          <v:oval id="_x0000_s43772" style="position:absolute;margin-left:388.25pt;margin-top:32.05pt;width:88.1pt;height:47.3pt;z-index:253001728">
            <v:textbox style="mso-next-textbox:#_x0000_s43772">
              <w:txbxContent>
                <w:p w:rsidR="00C52BCC" w:rsidRPr="00D74625" w:rsidRDefault="00C52BCC" w:rsidP="00100ABA">
                  <w:pPr>
                    <w:jc w:val="center"/>
                    <w:rPr>
                      <w:rFonts w:ascii="Times New Roman" w:hAnsi="Times New Roman" w:cs="Times New Roman"/>
                      <w:sz w:val="12"/>
                      <w:szCs w:val="12"/>
                    </w:rPr>
                  </w:pPr>
                  <w:r>
                    <w:rPr>
                      <w:rFonts w:ascii="Times New Roman" w:hAnsi="Times New Roman" w:cs="Times New Roman"/>
                      <w:sz w:val="12"/>
                      <w:szCs w:val="12"/>
                    </w:rPr>
                    <w:t xml:space="preserve">Arranging </w:t>
                  </w:r>
                  <w:r w:rsidRPr="00D74625">
                    <w:rPr>
                      <w:rFonts w:ascii="Times New Roman" w:hAnsi="Times New Roman" w:cs="Times New Roman"/>
                      <w:sz w:val="12"/>
                      <w:szCs w:val="12"/>
                    </w:rPr>
                    <w:t>on the shelves</w:t>
                  </w:r>
                  <w:r w:rsidR="00545CD2">
                    <w:rPr>
                      <w:rFonts w:ascii="Times New Roman" w:hAnsi="Times New Roman" w:cs="Times New Roman"/>
                      <w:sz w:val="12"/>
                      <w:szCs w:val="12"/>
                    </w:rPr>
                    <w:t xml:space="preserve"> in in</w:t>
                  </w:r>
                  <w:r w:rsidR="005A0055">
                    <w:rPr>
                      <w:rFonts w:ascii="Times New Roman" w:hAnsi="Times New Roman" w:cs="Times New Roman"/>
                      <w:sz w:val="12"/>
                      <w:szCs w:val="12"/>
                    </w:rPr>
                    <w:t>-</w:t>
                  </w:r>
                  <w:r w:rsidR="0069299F">
                    <w:rPr>
                      <w:rFonts w:ascii="Times New Roman" w:hAnsi="Times New Roman" w:cs="Times New Roman"/>
                      <w:sz w:val="12"/>
                      <w:szCs w:val="12"/>
                    </w:rPr>
                    <w:t>house publication section</w:t>
                  </w:r>
                </w:p>
                <w:p w:rsidR="00C52BCC" w:rsidRPr="00100ABA" w:rsidRDefault="00C52BCC" w:rsidP="00100ABA">
                  <w:pPr>
                    <w:rPr>
                      <w:szCs w:val="12"/>
                    </w:rPr>
                  </w:pPr>
                </w:p>
              </w:txbxContent>
            </v:textbox>
          </v:oval>
        </w:pict>
      </w:r>
      <w:r>
        <w:rPr>
          <w:noProof/>
        </w:rPr>
        <w:pict>
          <v:shape id="_x0000_s1728" type="#_x0000_t32" style="position:absolute;margin-left:435.7pt;margin-top:16.7pt;width:0;height:15.35pt;z-index:252191744" o:connectortype="straight">
            <v:stroke endarrow="block"/>
          </v:shape>
        </w:pict>
      </w:r>
      <w:r>
        <w:rPr>
          <w:noProof/>
        </w:rPr>
        <w:pict>
          <v:shape id="_x0000_s1725" type="#_x0000_t32" style="position:absolute;margin-left:46.2pt;margin-top:10.8pt;width:0;height:15.35pt;z-index:252188672" o:connectortype="straight">
            <v:stroke endarrow="block"/>
          </v:shape>
        </w:pict>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p>
    <w:p w:rsidR="009D0F4A" w:rsidRPr="00762EAD" w:rsidRDefault="00A22E45" w:rsidP="00F95C61">
      <w:pPr>
        <w:tabs>
          <w:tab w:val="left" w:pos="967"/>
        </w:tabs>
        <w:rPr>
          <w:rFonts w:ascii="Times New Roman" w:hAnsi="Times New Roman" w:cs="Times New Roman"/>
          <w:sz w:val="12"/>
          <w:szCs w:val="12"/>
        </w:rPr>
      </w:pPr>
      <w:r w:rsidRPr="00A22E45">
        <w:rPr>
          <w:noProof/>
          <w:lang w:bidi="hi-IN"/>
        </w:rPr>
        <w:pict>
          <v:oval id="_x0000_s43773" style="position:absolute;margin-left:183.3pt;margin-top:127.95pt;width:98.2pt;height:40.15pt;z-index:253002752">
            <v:textbox style="mso-next-textbox:#_x0000_s43773">
              <w:txbxContent>
                <w:p w:rsidR="00545CD2" w:rsidRPr="00D74625" w:rsidRDefault="00545CD2" w:rsidP="00545CD2">
                  <w:pPr>
                    <w:jc w:val="center"/>
                    <w:rPr>
                      <w:rFonts w:ascii="Times New Roman" w:hAnsi="Times New Roman" w:cs="Times New Roman"/>
                      <w:sz w:val="12"/>
                      <w:szCs w:val="12"/>
                    </w:rPr>
                  </w:pPr>
                  <w:r w:rsidRPr="00D74625">
                    <w:rPr>
                      <w:rFonts w:ascii="Times New Roman" w:hAnsi="Times New Roman" w:cs="Times New Roman"/>
                      <w:sz w:val="12"/>
                      <w:szCs w:val="12"/>
                    </w:rPr>
                    <w:t>Arranging the processed book</w:t>
                  </w:r>
                  <w:r>
                    <w:rPr>
                      <w:rFonts w:ascii="Times New Roman" w:hAnsi="Times New Roman" w:cs="Times New Roman"/>
                      <w:sz w:val="12"/>
                      <w:szCs w:val="12"/>
                    </w:rPr>
                    <w:t>s</w:t>
                  </w:r>
                  <w:r w:rsidRPr="00D74625">
                    <w:rPr>
                      <w:rFonts w:ascii="Times New Roman" w:hAnsi="Times New Roman" w:cs="Times New Roman"/>
                      <w:sz w:val="12"/>
                      <w:szCs w:val="12"/>
                    </w:rPr>
                    <w:t xml:space="preserve"> on shelves</w:t>
                  </w:r>
                </w:p>
                <w:p w:rsidR="00545CD2" w:rsidRPr="00100ABA" w:rsidRDefault="00545CD2" w:rsidP="00545CD2">
                  <w:pPr>
                    <w:rPr>
                      <w:szCs w:val="12"/>
                    </w:rPr>
                  </w:pPr>
                </w:p>
              </w:txbxContent>
            </v:textbox>
          </v:oval>
        </w:pict>
      </w:r>
      <w:r w:rsidRPr="00A22E45">
        <w:rPr>
          <w:noProof/>
        </w:rPr>
        <w:pict>
          <v:shape id="_x0000_s1734" type="#_x0000_t32" style="position:absolute;margin-left:233.25pt;margin-top:112.6pt;width:0;height:15.35pt;z-index:252197888" o:connectortype="straight">
            <v:stroke endarrow="block"/>
          </v:shape>
        </w:pict>
      </w:r>
      <w:r w:rsidRPr="00A22E45">
        <w:rPr>
          <w:noProof/>
          <w:lang w:bidi="hi-IN"/>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43776" type="#_x0000_t114" style="position:absolute;margin-left:95.7pt;margin-top:91.3pt;width:74.3pt;height:28.3pt;z-index:253004800">
            <v:textbox>
              <w:txbxContent>
                <w:p w:rsidR="00D31930" w:rsidRPr="00D31930" w:rsidRDefault="00D31930">
                  <w:pPr>
                    <w:rPr>
                      <w:sz w:val="12"/>
                      <w:szCs w:val="12"/>
                    </w:rPr>
                  </w:pPr>
                  <w:r>
                    <w:rPr>
                      <w:sz w:val="12"/>
                      <w:szCs w:val="12"/>
                    </w:rPr>
                    <w:t>Sear’s list of subject headings</w:t>
                  </w:r>
                </w:p>
              </w:txbxContent>
            </v:textbox>
          </v:shape>
        </w:pict>
      </w:r>
      <w:r w:rsidRPr="00A22E45">
        <w:rPr>
          <w:noProof/>
          <w:lang w:bidi="hi-IN"/>
        </w:rPr>
        <w:pict>
          <v:shape id="_x0000_s43780" type="#_x0000_t32" style="position:absolute;margin-left:170pt;margin-top:102.2pt;width:13.3pt;height:0;z-index:253008896" o:connectortype="straight">
            <v:stroke endarrow="block"/>
          </v:shape>
        </w:pict>
      </w:r>
      <w:r w:rsidRPr="00A22E45">
        <w:rPr>
          <w:noProof/>
          <w:lang w:bidi="hi-IN"/>
        </w:rPr>
        <w:pict>
          <v:shape id="_x0000_s43778" type="#_x0000_t32" style="position:absolute;margin-left:170pt;margin-top:38.5pt;width:13.3pt;height:0;z-index:253006848" o:connectortype="straight">
            <v:stroke endarrow="block"/>
          </v:shape>
        </w:pict>
      </w:r>
      <w:r w:rsidRPr="00A22E45">
        <w:rPr>
          <w:noProof/>
          <w:lang w:bidi="hi-IN"/>
        </w:rPr>
        <w:pict>
          <v:shape id="_x0000_s43775" type="#_x0000_t114" style="position:absolute;margin-left:95.7pt;margin-top:26.35pt;width:74.3pt;height:26.6pt;z-index:253003776">
            <v:textbox>
              <w:txbxContent>
                <w:p w:rsidR="00D31930" w:rsidRPr="00D31930" w:rsidRDefault="00D31930">
                  <w:pPr>
                    <w:rPr>
                      <w:sz w:val="12"/>
                      <w:szCs w:val="12"/>
                    </w:rPr>
                  </w:pPr>
                  <w:r w:rsidRPr="00D31930">
                    <w:rPr>
                      <w:sz w:val="12"/>
                      <w:szCs w:val="12"/>
                    </w:rPr>
                    <w:t xml:space="preserve">Dewey </w:t>
                  </w:r>
                  <w:r w:rsidR="00D35564" w:rsidRPr="00D31930">
                    <w:rPr>
                      <w:sz w:val="12"/>
                      <w:szCs w:val="12"/>
                    </w:rPr>
                    <w:t>decimal classification</w:t>
                  </w:r>
                  <w:r w:rsidRPr="00D31930">
                    <w:rPr>
                      <w:sz w:val="12"/>
                      <w:szCs w:val="12"/>
                    </w:rPr>
                    <w:t xml:space="preserve"> </w:t>
                  </w:r>
                  <w:r w:rsidR="00021DBD">
                    <w:rPr>
                      <w:sz w:val="12"/>
                      <w:szCs w:val="12"/>
                    </w:rPr>
                    <w:t>c</w:t>
                  </w:r>
                  <w:r w:rsidRPr="00D31930">
                    <w:rPr>
                      <w:sz w:val="12"/>
                      <w:szCs w:val="12"/>
                    </w:rPr>
                    <w:t>ode</w:t>
                  </w:r>
                </w:p>
              </w:txbxContent>
            </v:textbox>
          </v:shape>
        </w:pict>
      </w:r>
      <w:r w:rsidRPr="00A22E45">
        <w:rPr>
          <w:noProof/>
          <w:lang w:bidi="hi-IN"/>
        </w:rPr>
        <w:pict>
          <v:shape id="_x0000_s43777" type="#_x0000_t114" style="position:absolute;margin-left:95.7pt;margin-top:62.6pt;width:74.3pt;height:25.8pt;z-index:253005824">
            <v:textbox>
              <w:txbxContent>
                <w:p w:rsidR="00D31930" w:rsidRPr="00D31930" w:rsidRDefault="00D31930">
                  <w:pPr>
                    <w:rPr>
                      <w:sz w:val="12"/>
                      <w:szCs w:val="12"/>
                    </w:rPr>
                  </w:pPr>
                  <w:r w:rsidRPr="00D31930">
                    <w:rPr>
                      <w:sz w:val="12"/>
                      <w:szCs w:val="12"/>
                    </w:rPr>
                    <w:t>Anglo-American cataloguing</w:t>
                  </w:r>
                  <w:r>
                    <w:rPr>
                      <w:sz w:val="12"/>
                      <w:szCs w:val="12"/>
                    </w:rPr>
                    <w:t xml:space="preserve"> c</w:t>
                  </w:r>
                  <w:r w:rsidRPr="00D31930">
                    <w:rPr>
                      <w:sz w:val="12"/>
                      <w:szCs w:val="12"/>
                    </w:rPr>
                    <w:t>ode</w:t>
                  </w:r>
                </w:p>
              </w:txbxContent>
            </v:textbox>
          </v:shape>
        </w:pict>
      </w:r>
      <w:r w:rsidRPr="00A22E45">
        <w:rPr>
          <w:noProof/>
          <w:lang w:bidi="hi-IN"/>
        </w:rPr>
        <w:pict>
          <v:shape id="_x0000_s43779" type="#_x0000_t32" style="position:absolute;margin-left:170pt;margin-top:71.2pt;width:13.3pt;height:0;z-index:253007872" o:connectortype="straight">
            <v:stroke endarrow="block"/>
          </v:shape>
        </w:pict>
      </w:r>
      <w:r w:rsidRPr="00A22E45">
        <w:rPr>
          <w:noProof/>
        </w:rPr>
        <w:pict>
          <v:rect id="_x0000_s1732" style="position:absolute;margin-left:183.3pt;margin-top:62.6pt;width:96.95pt;height:50pt;z-index:252195840">
            <v:textbox style="mso-next-textbox:#_x0000_s1732">
              <w:txbxContent>
                <w:p w:rsidR="00C52BCC" w:rsidRPr="00591442" w:rsidRDefault="00021DBD" w:rsidP="004138F1">
                  <w:pPr>
                    <w:jc w:val="center"/>
                    <w:rPr>
                      <w:rFonts w:ascii="Times New Roman" w:hAnsi="Times New Roman" w:cs="Times New Roman"/>
                      <w:sz w:val="12"/>
                      <w:szCs w:val="12"/>
                    </w:rPr>
                  </w:pPr>
                  <w:r>
                    <w:rPr>
                      <w:rFonts w:ascii="Times New Roman" w:hAnsi="Times New Roman" w:cs="Times New Roman"/>
                      <w:sz w:val="12"/>
                      <w:szCs w:val="12"/>
                    </w:rPr>
                    <w:t xml:space="preserve">Cataloguing and </w:t>
                  </w:r>
                  <w:r w:rsidR="0069299F">
                    <w:rPr>
                      <w:rFonts w:ascii="Times New Roman" w:hAnsi="Times New Roman" w:cs="Times New Roman"/>
                      <w:sz w:val="12"/>
                      <w:szCs w:val="12"/>
                    </w:rPr>
                    <w:t>a</w:t>
                  </w:r>
                  <w:r w:rsidR="0069299F" w:rsidRPr="00591442">
                    <w:rPr>
                      <w:rFonts w:ascii="Times New Roman" w:hAnsi="Times New Roman" w:cs="Times New Roman"/>
                      <w:sz w:val="12"/>
                      <w:szCs w:val="12"/>
                    </w:rPr>
                    <w:t>ssigning metadata</w:t>
                  </w:r>
                  <w:r w:rsidR="00C52BCC" w:rsidRPr="00591442">
                    <w:rPr>
                      <w:rFonts w:ascii="Times New Roman" w:hAnsi="Times New Roman" w:cs="Times New Roman"/>
                      <w:sz w:val="12"/>
                      <w:szCs w:val="12"/>
                    </w:rPr>
                    <w:t xml:space="preserve"> elements in cataloguing module of the </w:t>
                  </w:r>
                  <w:r>
                    <w:rPr>
                      <w:rFonts w:ascii="Times New Roman" w:hAnsi="Times New Roman" w:cs="Times New Roman"/>
                      <w:sz w:val="12"/>
                      <w:szCs w:val="12"/>
                    </w:rPr>
                    <w:t xml:space="preserve">library management </w:t>
                  </w:r>
                  <w:r w:rsidR="00C52BCC" w:rsidRPr="00591442">
                    <w:rPr>
                      <w:rFonts w:ascii="Times New Roman" w:hAnsi="Times New Roman" w:cs="Times New Roman"/>
                      <w:sz w:val="12"/>
                      <w:szCs w:val="12"/>
                    </w:rPr>
                    <w:t>software</w:t>
                  </w:r>
                </w:p>
                <w:p w:rsidR="00C52BCC" w:rsidRPr="00EB495B" w:rsidRDefault="00C52BCC" w:rsidP="004138F1"/>
              </w:txbxContent>
            </v:textbox>
          </v:rect>
        </w:pict>
      </w:r>
      <w:r w:rsidRPr="00A22E45">
        <w:rPr>
          <w:noProof/>
        </w:rPr>
        <w:pict>
          <v:rect id="_x0000_s1735" style="position:absolute;margin-left:322.15pt;margin-top:62.6pt;width:105.2pt;height:34.35pt;z-index:252198912">
            <v:textbox style="mso-next-textbox:#_x0000_s1735">
              <w:txbxContent>
                <w:p w:rsidR="00C52BCC" w:rsidRPr="00084620" w:rsidRDefault="00C52BCC" w:rsidP="004138F1">
                  <w:pPr>
                    <w:jc w:val="center"/>
                    <w:rPr>
                      <w:rFonts w:ascii="Times New Roman" w:hAnsi="Times New Roman" w:cs="Times New Roman"/>
                      <w:sz w:val="12"/>
                      <w:szCs w:val="12"/>
                    </w:rPr>
                  </w:pPr>
                  <w:r w:rsidRPr="00084620">
                    <w:rPr>
                      <w:rFonts w:ascii="Times New Roman" w:hAnsi="Times New Roman" w:cs="Times New Roman"/>
                      <w:sz w:val="12"/>
                      <w:szCs w:val="12"/>
                    </w:rPr>
                    <w:t xml:space="preserve">Enabling Online Public Access Catalogue </w:t>
                  </w:r>
                  <w:r>
                    <w:rPr>
                      <w:rFonts w:ascii="Times New Roman" w:hAnsi="Times New Roman" w:cs="Times New Roman"/>
                      <w:sz w:val="12"/>
                      <w:szCs w:val="12"/>
                    </w:rPr>
                    <w:t xml:space="preserve">(OPAC) </w:t>
                  </w:r>
                  <w:r w:rsidRPr="00084620">
                    <w:rPr>
                      <w:rFonts w:ascii="Times New Roman" w:hAnsi="Times New Roman" w:cs="Times New Roman"/>
                      <w:sz w:val="12"/>
                      <w:szCs w:val="12"/>
                    </w:rPr>
                    <w:t>Searching</w:t>
                  </w:r>
                </w:p>
                <w:p w:rsidR="00C52BCC" w:rsidRPr="00EB495B" w:rsidRDefault="00C52BCC" w:rsidP="004138F1"/>
              </w:txbxContent>
            </v:textbox>
          </v:rect>
        </w:pict>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C20CBD">
        <w:tab/>
      </w:r>
      <w:r w:rsidR="00762EAD">
        <w:rPr>
          <w:rFonts w:ascii="Times New Roman" w:hAnsi="Times New Roman" w:cs="Times New Roman"/>
          <w:sz w:val="12"/>
          <w:szCs w:val="12"/>
        </w:rPr>
        <w:t xml:space="preserve"> </w:t>
      </w:r>
      <w:bookmarkEnd w:id="0"/>
    </w:p>
    <w:sectPr w:rsidR="009D0F4A" w:rsidRPr="00762EAD" w:rsidSect="005B2B6B">
      <w:headerReference w:type="even" r:id="rId8"/>
      <w:headerReference w:type="default" r:id="rId9"/>
      <w:footerReference w:type="even" r:id="rId10"/>
      <w:footerReference w:type="default" r:id="rId11"/>
      <w:headerReference w:type="first" r:id="rId12"/>
      <w:footerReference w:type="first" r:id="rId13"/>
      <w:pgSz w:w="11906" w:h="16838" w:code="9"/>
      <w:pgMar w:top="794" w:right="1440" w:bottom="794" w:left="2019" w:header="709" w:footer="709"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92C" w:rsidRDefault="00D1092C" w:rsidP="001E146C">
      <w:pPr>
        <w:spacing w:after="0" w:line="240" w:lineRule="auto"/>
      </w:pPr>
      <w:r>
        <w:separator/>
      </w:r>
    </w:p>
  </w:endnote>
  <w:endnote w:type="continuationSeparator" w:id="1">
    <w:p w:rsidR="00D1092C" w:rsidRDefault="00D1092C"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6B" w:rsidRDefault="005B2B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5"/>
      <w:docPartObj>
        <w:docPartGallery w:val="Page Numbers (Bottom of Page)"/>
        <w:docPartUnique/>
      </w:docPartObj>
    </w:sdtPr>
    <w:sdtContent>
      <w:p w:rsidR="00C52BCC" w:rsidRDefault="00A22E45">
        <w:pPr>
          <w:pStyle w:val="Footer"/>
          <w:jc w:val="center"/>
        </w:pPr>
        <w:fldSimple w:instr=" PAGE   \* MERGEFORMAT ">
          <w:r w:rsidR="00F95C61">
            <w:rPr>
              <w:noProof/>
            </w:rPr>
            <w:t>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029"/>
      <w:docPartObj>
        <w:docPartGallery w:val="Page Numbers (Bottom of Page)"/>
        <w:docPartUnique/>
      </w:docPartObj>
    </w:sdtPr>
    <w:sdtContent>
      <w:p w:rsidR="005B2B6B" w:rsidRDefault="00A22E45">
        <w:pPr>
          <w:pStyle w:val="Footer"/>
          <w:jc w:val="center"/>
        </w:pPr>
        <w:r>
          <w:fldChar w:fldCharType="begin"/>
        </w:r>
        <w:r w:rsidR="005B2B6B">
          <w:instrText xml:space="preserve"> PAGE   \* MERGEFORMAT </w:instrText>
        </w:r>
        <w:r>
          <w:fldChar w:fldCharType="separate"/>
        </w:r>
        <w:r w:rsidR="00BB1B2B">
          <w:rPr>
            <w:noProof/>
          </w:rPr>
          <w:t>15</w:t>
        </w:r>
        <w:r>
          <w:fldChar w:fldCharType="end"/>
        </w:r>
      </w:p>
    </w:sdtContent>
  </w:sdt>
  <w:p w:rsidR="00C52BCC" w:rsidRDefault="00C52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92C" w:rsidRDefault="00D1092C" w:rsidP="001E146C">
      <w:pPr>
        <w:spacing w:after="0" w:line="240" w:lineRule="auto"/>
      </w:pPr>
      <w:r>
        <w:separator/>
      </w:r>
    </w:p>
  </w:footnote>
  <w:footnote w:type="continuationSeparator" w:id="1">
    <w:p w:rsidR="00D1092C" w:rsidRDefault="00D1092C"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6B" w:rsidRDefault="005B2B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5"/>
      <w:gridCol w:w="1135"/>
      <w:gridCol w:w="1364"/>
    </w:tblGrid>
    <w:tr w:rsidR="00C52BCC" w:rsidRPr="0096457D" w:rsidTr="00B22DE2">
      <w:trPr>
        <w:trHeight w:val="1463"/>
      </w:trPr>
      <w:tc>
        <w:tcPr>
          <w:tcW w:w="5000" w:type="pct"/>
          <w:gridSpan w:val="4"/>
          <w:tcBorders>
            <w:bottom w:val="single" w:sz="4" w:space="0" w:color="auto"/>
          </w:tcBorders>
        </w:tcPr>
        <w:p w:rsidR="00C52BCC" w:rsidRDefault="00A22E45" w:rsidP="001E146C">
          <w:pPr>
            <w:pStyle w:val="Header"/>
            <w:tabs>
              <w:tab w:val="left" w:pos="851"/>
            </w:tabs>
            <w:rPr>
              <w:rFonts w:ascii="Times New Roman" w:hAnsi="Times New Roman"/>
              <w:b/>
              <w:sz w:val="26"/>
              <w:szCs w:val="26"/>
            </w:rPr>
          </w:pPr>
          <w:r w:rsidRPr="00A22E45">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48297052" r:id="rId2"/>
            </w:pict>
          </w:r>
        </w:p>
        <w:p w:rsidR="00C52BCC" w:rsidRPr="00614150" w:rsidRDefault="00C52BCC" w:rsidP="001E146C">
          <w:pPr>
            <w:pStyle w:val="Header"/>
            <w:tabs>
              <w:tab w:val="left" w:pos="851"/>
            </w:tabs>
            <w:rPr>
              <w:rFonts w:ascii="Times New Roman" w:hAnsi="Times New Roman"/>
              <w:b/>
              <w:color w:val="C00000"/>
              <w:sz w:val="26"/>
              <w:szCs w:val="26"/>
            </w:rPr>
          </w:pPr>
        </w:p>
        <w:p w:rsidR="00C52BCC" w:rsidRPr="001E146C" w:rsidRDefault="00C52BCC"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rPr>
              <w:rFonts w:ascii="Times New Roman" w:hAnsi="Times New Roman" w:cs="Times New Roman"/>
              <w:b/>
              <w:color w:val="0066FF"/>
            </w:rPr>
          </w:pP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C52BCC" w:rsidRPr="00B22DE2" w:rsidRDefault="00C52BCC" w:rsidP="005C7D7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C52BCC" w:rsidRDefault="00C52B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6B" w:rsidRDefault="005B2B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AB1"/>
    <w:multiLevelType w:val="hybridMultilevel"/>
    <w:tmpl w:val="B87C01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F373E3E"/>
    <w:multiLevelType w:val="multilevel"/>
    <w:tmpl w:val="7F6E027A"/>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963183"/>
    <w:multiLevelType w:val="hybridMultilevel"/>
    <w:tmpl w:val="3D6CB4D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463BD"/>
    <w:multiLevelType w:val="hybridMultilevel"/>
    <w:tmpl w:val="0C706A72"/>
    <w:lvl w:ilvl="0" w:tplc="20CA7016">
      <w:start w:val="1"/>
      <w:numFmt w:val="decimal"/>
      <w:lvlText w:val="%10.2.1"/>
      <w:lvlJc w:val="left"/>
      <w:pPr>
        <w:ind w:left="1440" w:hanging="360"/>
      </w:pPr>
      <w:rPr>
        <w:rFonts w:hint="default"/>
      </w:rPr>
    </w:lvl>
    <w:lvl w:ilvl="1" w:tplc="04090019" w:tentative="1">
      <w:start w:val="1"/>
      <w:numFmt w:val="lowerLetter"/>
      <w:lvlText w:val="%2."/>
      <w:lvlJc w:val="left"/>
      <w:pPr>
        <w:ind w:left="2160" w:hanging="360"/>
      </w:pPr>
    </w:lvl>
    <w:lvl w:ilvl="2" w:tplc="20CA7016">
      <w:start w:val="1"/>
      <w:numFmt w:val="decimal"/>
      <w:lvlText w:val="%30.2.1"/>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4F40B3"/>
    <w:multiLevelType w:val="multilevel"/>
    <w:tmpl w:val="EA3EE76A"/>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0">
    <w:nsid w:val="3DAD43F8"/>
    <w:multiLevelType w:val="multilevel"/>
    <w:tmpl w:val="A224A8C4"/>
    <w:lvl w:ilvl="0">
      <w:start w:val="9"/>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nsid w:val="41731A46"/>
    <w:multiLevelType w:val="hybridMultilevel"/>
    <w:tmpl w:val="0412A860"/>
    <w:lvl w:ilvl="0" w:tplc="72C43304">
      <w:start w:val="1"/>
      <w:numFmt w:val="decimal"/>
      <w:lvlText w:val="%10.2.1.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C43304">
      <w:start w:val="1"/>
      <w:numFmt w:val="decimal"/>
      <w:lvlText w:val="%40.2.1.1"/>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A1435"/>
    <w:multiLevelType w:val="hybridMultilevel"/>
    <w:tmpl w:val="B594746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8E4050E"/>
    <w:multiLevelType w:val="multilevel"/>
    <w:tmpl w:val="BAB8B9C0"/>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C00466"/>
    <w:multiLevelType w:val="multilevel"/>
    <w:tmpl w:val="F774BF1E"/>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A141A4"/>
    <w:multiLevelType w:val="multilevel"/>
    <w:tmpl w:val="403A42BC"/>
    <w:lvl w:ilvl="0">
      <w:start w:val="11"/>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2">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D1A65"/>
    <w:multiLevelType w:val="multilevel"/>
    <w:tmpl w:val="F26A7904"/>
    <w:lvl w:ilvl="0">
      <w:start w:val="10"/>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79074199"/>
    <w:multiLevelType w:val="hybridMultilevel"/>
    <w:tmpl w:val="B8B457DC"/>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9"/>
  </w:num>
  <w:num w:numId="6">
    <w:abstractNumId w:val="23"/>
  </w:num>
  <w:num w:numId="7">
    <w:abstractNumId w:val="20"/>
  </w:num>
  <w:num w:numId="8">
    <w:abstractNumId w:val="27"/>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26"/>
  </w:num>
  <w:num w:numId="15">
    <w:abstractNumId w:val="24"/>
  </w:num>
  <w:num w:numId="16">
    <w:abstractNumId w:val="6"/>
  </w:num>
  <w:num w:numId="17">
    <w:abstractNumId w:val="22"/>
  </w:num>
  <w:num w:numId="18">
    <w:abstractNumId w:val="3"/>
  </w:num>
  <w:num w:numId="19">
    <w:abstractNumId w:val="10"/>
  </w:num>
  <w:num w:numId="20">
    <w:abstractNumId w:val="25"/>
  </w:num>
  <w:num w:numId="21">
    <w:abstractNumId w:val="8"/>
  </w:num>
  <w:num w:numId="22">
    <w:abstractNumId w:val="11"/>
  </w:num>
  <w:num w:numId="23">
    <w:abstractNumId w:val="18"/>
  </w:num>
  <w:num w:numId="24">
    <w:abstractNumId w:val="15"/>
  </w:num>
  <w:num w:numId="25">
    <w:abstractNumId w:val="13"/>
  </w:num>
  <w:num w:numId="26">
    <w:abstractNumId w:val="21"/>
  </w:num>
  <w:num w:numId="27">
    <w:abstractNumId w:val="2"/>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useFELayout/>
  </w:compat>
  <w:rsids>
    <w:rsidRoot w:val="0056797C"/>
    <w:rsid w:val="00010621"/>
    <w:rsid w:val="0001581D"/>
    <w:rsid w:val="00016DD1"/>
    <w:rsid w:val="00021DBD"/>
    <w:rsid w:val="000247AA"/>
    <w:rsid w:val="00026280"/>
    <w:rsid w:val="00026B1C"/>
    <w:rsid w:val="00041054"/>
    <w:rsid w:val="0004146C"/>
    <w:rsid w:val="00041BAB"/>
    <w:rsid w:val="00042F60"/>
    <w:rsid w:val="000434FD"/>
    <w:rsid w:val="0004387C"/>
    <w:rsid w:val="000528B7"/>
    <w:rsid w:val="0005484D"/>
    <w:rsid w:val="00054F5C"/>
    <w:rsid w:val="00055AD7"/>
    <w:rsid w:val="00062EF6"/>
    <w:rsid w:val="00080FC2"/>
    <w:rsid w:val="00084620"/>
    <w:rsid w:val="00087098"/>
    <w:rsid w:val="0009179B"/>
    <w:rsid w:val="00091E93"/>
    <w:rsid w:val="000928B2"/>
    <w:rsid w:val="00094B0C"/>
    <w:rsid w:val="000A1EFA"/>
    <w:rsid w:val="000A3521"/>
    <w:rsid w:val="000A53A2"/>
    <w:rsid w:val="000B5632"/>
    <w:rsid w:val="000B5CE7"/>
    <w:rsid w:val="000B7206"/>
    <w:rsid w:val="000C12BF"/>
    <w:rsid w:val="000D0D43"/>
    <w:rsid w:val="000D2AA1"/>
    <w:rsid w:val="000E1294"/>
    <w:rsid w:val="000E253D"/>
    <w:rsid w:val="000F02DC"/>
    <w:rsid w:val="000F2CC8"/>
    <w:rsid w:val="000F3905"/>
    <w:rsid w:val="000F5141"/>
    <w:rsid w:val="00100ABA"/>
    <w:rsid w:val="00102D48"/>
    <w:rsid w:val="001068DF"/>
    <w:rsid w:val="00107A6C"/>
    <w:rsid w:val="0011009E"/>
    <w:rsid w:val="001139B7"/>
    <w:rsid w:val="00115CE0"/>
    <w:rsid w:val="00117EE6"/>
    <w:rsid w:val="001208A1"/>
    <w:rsid w:val="00124393"/>
    <w:rsid w:val="00124A84"/>
    <w:rsid w:val="00125867"/>
    <w:rsid w:val="0013453F"/>
    <w:rsid w:val="00140C89"/>
    <w:rsid w:val="0014220E"/>
    <w:rsid w:val="0015645D"/>
    <w:rsid w:val="00165879"/>
    <w:rsid w:val="00165E04"/>
    <w:rsid w:val="00167A62"/>
    <w:rsid w:val="001823F6"/>
    <w:rsid w:val="00185057"/>
    <w:rsid w:val="001879C1"/>
    <w:rsid w:val="00195332"/>
    <w:rsid w:val="001A315F"/>
    <w:rsid w:val="001A536D"/>
    <w:rsid w:val="001A5B2A"/>
    <w:rsid w:val="001A6504"/>
    <w:rsid w:val="001B2333"/>
    <w:rsid w:val="001B456B"/>
    <w:rsid w:val="001C166D"/>
    <w:rsid w:val="001C1698"/>
    <w:rsid w:val="001C2554"/>
    <w:rsid w:val="001E146C"/>
    <w:rsid w:val="001E19A4"/>
    <w:rsid w:val="001F08E0"/>
    <w:rsid w:val="001F20CE"/>
    <w:rsid w:val="001F25BA"/>
    <w:rsid w:val="001F2F63"/>
    <w:rsid w:val="001F4989"/>
    <w:rsid w:val="001F55EC"/>
    <w:rsid w:val="001F5E55"/>
    <w:rsid w:val="00211AAE"/>
    <w:rsid w:val="002130A3"/>
    <w:rsid w:val="0022776F"/>
    <w:rsid w:val="002306DA"/>
    <w:rsid w:val="00232BC2"/>
    <w:rsid w:val="00237103"/>
    <w:rsid w:val="00242399"/>
    <w:rsid w:val="0024348F"/>
    <w:rsid w:val="002474D3"/>
    <w:rsid w:val="00253C90"/>
    <w:rsid w:val="00256CE9"/>
    <w:rsid w:val="00263306"/>
    <w:rsid w:val="00267C5A"/>
    <w:rsid w:val="00272786"/>
    <w:rsid w:val="00276A98"/>
    <w:rsid w:val="00280F5A"/>
    <w:rsid w:val="00286A10"/>
    <w:rsid w:val="0029075C"/>
    <w:rsid w:val="00292380"/>
    <w:rsid w:val="00293A31"/>
    <w:rsid w:val="002940DA"/>
    <w:rsid w:val="00295BCC"/>
    <w:rsid w:val="00295CC1"/>
    <w:rsid w:val="002A6A34"/>
    <w:rsid w:val="002B12B9"/>
    <w:rsid w:val="002B591F"/>
    <w:rsid w:val="002B7DE3"/>
    <w:rsid w:val="002C1232"/>
    <w:rsid w:val="002C284C"/>
    <w:rsid w:val="002C5F92"/>
    <w:rsid w:val="002E1048"/>
    <w:rsid w:val="002E33B1"/>
    <w:rsid w:val="002E427C"/>
    <w:rsid w:val="002E4CC9"/>
    <w:rsid w:val="002E6AC9"/>
    <w:rsid w:val="002E6F66"/>
    <w:rsid w:val="002F24B5"/>
    <w:rsid w:val="002F2791"/>
    <w:rsid w:val="003045C3"/>
    <w:rsid w:val="00304B42"/>
    <w:rsid w:val="00306472"/>
    <w:rsid w:val="00311ED8"/>
    <w:rsid w:val="0032453E"/>
    <w:rsid w:val="003320BA"/>
    <w:rsid w:val="003322B5"/>
    <w:rsid w:val="0033526D"/>
    <w:rsid w:val="00335F61"/>
    <w:rsid w:val="00337C3D"/>
    <w:rsid w:val="00343085"/>
    <w:rsid w:val="00343866"/>
    <w:rsid w:val="00345DF7"/>
    <w:rsid w:val="0035189F"/>
    <w:rsid w:val="00355130"/>
    <w:rsid w:val="00360B62"/>
    <w:rsid w:val="00363F2C"/>
    <w:rsid w:val="003673BA"/>
    <w:rsid w:val="00372D8B"/>
    <w:rsid w:val="00374308"/>
    <w:rsid w:val="00377C64"/>
    <w:rsid w:val="00384B04"/>
    <w:rsid w:val="00391914"/>
    <w:rsid w:val="00393079"/>
    <w:rsid w:val="003A1F12"/>
    <w:rsid w:val="003A2760"/>
    <w:rsid w:val="003B1FD3"/>
    <w:rsid w:val="003B3298"/>
    <w:rsid w:val="003B3EAC"/>
    <w:rsid w:val="003C49C7"/>
    <w:rsid w:val="003C7097"/>
    <w:rsid w:val="003D2143"/>
    <w:rsid w:val="003D3B9D"/>
    <w:rsid w:val="003D62EC"/>
    <w:rsid w:val="003E2E4F"/>
    <w:rsid w:val="003F0B90"/>
    <w:rsid w:val="003F2B83"/>
    <w:rsid w:val="003F5238"/>
    <w:rsid w:val="00400860"/>
    <w:rsid w:val="004059F3"/>
    <w:rsid w:val="004138F1"/>
    <w:rsid w:val="0042316E"/>
    <w:rsid w:val="00424E54"/>
    <w:rsid w:val="0042653E"/>
    <w:rsid w:val="00426AA9"/>
    <w:rsid w:val="00426C64"/>
    <w:rsid w:val="0043491A"/>
    <w:rsid w:val="004353EA"/>
    <w:rsid w:val="00447FE4"/>
    <w:rsid w:val="004502D1"/>
    <w:rsid w:val="00462492"/>
    <w:rsid w:val="00462F21"/>
    <w:rsid w:val="00473E6D"/>
    <w:rsid w:val="00475910"/>
    <w:rsid w:val="00484153"/>
    <w:rsid w:val="00484F81"/>
    <w:rsid w:val="004B2AB3"/>
    <w:rsid w:val="004B43B2"/>
    <w:rsid w:val="004C0E18"/>
    <w:rsid w:val="004D5A1C"/>
    <w:rsid w:val="004E2EE3"/>
    <w:rsid w:val="004E65D5"/>
    <w:rsid w:val="00505382"/>
    <w:rsid w:val="0050721F"/>
    <w:rsid w:val="00511660"/>
    <w:rsid w:val="00515C49"/>
    <w:rsid w:val="00520CA4"/>
    <w:rsid w:val="00526381"/>
    <w:rsid w:val="00526C8D"/>
    <w:rsid w:val="0053157A"/>
    <w:rsid w:val="0053422A"/>
    <w:rsid w:val="00535417"/>
    <w:rsid w:val="00536908"/>
    <w:rsid w:val="00545CD2"/>
    <w:rsid w:val="00555A04"/>
    <w:rsid w:val="005574BF"/>
    <w:rsid w:val="00563CA0"/>
    <w:rsid w:val="00564938"/>
    <w:rsid w:val="0056797C"/>
    <w:rsid w:val="00571544"/>
    <w:rsid w:val="00575164"/>
    <w:rsid w:val="005813BF"/>
    <w:rsid w:val="0058182F"/>
    <w:rsid w:val="005866D7"/>
    <w:rsid w:val="00586CEC"/>
    <w:rsid w:val="00591442"/>
    <w:rsid w:val="00591B85"/>
    <w:rsid w:val="00593A54"/>
    <w:rsid w:val="005949EE"/>
    <w:rsid w:val="00595D63"/>
    <w:rsid w:val="00596056"/>
    <w:rsid w:val="005A0055"/>
    <w:rsid w:val="005A06B8"/>
    <w:rsid w:val="005A0E2F"/>
    <w:rsid w:val="005A10EA"/>
    <w:rsid w:val="005A1E9C"/>
    <w:rsid w:val="005A299A"/>
    <w:rsid w:val="005A4BE0"/>
    <w:rsid w:val="005A56A2"/>
    <w:rsid w:val="005A57A0"/>
    <w:rsid w:val="005A68C7"/>
    <w:rsid w:val="005B2B6B"/>
    <w:rsid w:val="005C0733"/>
    <w:rsid w:val="005C1345"/>
    <w:rsid w:val="005C15C3"/>
    <w:rsid w:val="005C36AB"/>
    <w:rsid w:val="005C3877"/>
    <w:rsid w:val="005C5C9C"/>
    <w:rsid w:val="005C6109"/>
    <w:rsid w:val="005C67D2"/>
    <w:rsid w:val="005C7D74"/>
    <w:rsid w:val="005D636F"/>
    <w:rsid w:val="005F06A3"/>
    <w:rsid w:val="005F1C0B"/>
    <w:rsid w:val="00600B65"/>
    <w:rsid w:val="00601DCD"/>
    <w:rsid w:val="00606817"/>
    <w:rsid w:val="00612CA1"/>
    <w:rsid w:val="00614150"/>
    <w:rsid w:val="00617577"/>
    <w:rsid w:val="00631CB8"/>
    <w:rsid w:val="00631DC7"/>
    <w:rsid w:val="00632B10"/>
    <w:rsid w:val="00637835"/>
    <w:rsid w:val="006446D1"/>
    <w:rsid w:val="006452DF"/>
    <w:rsid w:val="0065070B"/>
    <w:rsid w:val="00652FB2"/>
    <w:rsid w:val="0065303B"/>
    <w:rsid w:val="0065504A"/>
    <w:rsid w:val="0066175A"/>
    <w:rsid w:val="006701F7"/>
    <w:rsid w:val="006811C7"/>
    <w:rsid w:val="006840EC"/>
    <w:rsid w:val="00684489"/>
    <w:rsid w:val="0068523D"/>
    <w:rsid w:val="00686B76"/>
    <w:rsid w:val="0068763C"/>
    <w:rsid w:val="00691749"/>
    <w:rsid w:val="0069299F"/>
    <w:rsid w:val="006A1D07"/>
    <w:rsid w:val="006A5F84"/>
    <w:rsid w:val="006C38CB"/>
    <w:rsid w:val="006C7C8D"/>
    <w:rsid w:val="006D5AC0"/>
    <w:rsid w:val="006D5F74"/>
    <w:rsid w:val="006E2FA8"/>
    <w:rsid w:val="006E6712"/>
    <w:rsid w:val="006F0900"/>
    <w:rsid w:val="006F1563"/>
    <w:rsid w:val="006F5C49"/>
    <w:rsid w:val="006F65B1"/>
    <w:rsid w:val="00700420"/>
    <w:rsid w:val="00701BDE"/>
    <w:rsid w:val="007231E1"/>
    <w:rsid w:val="007236DB"/>
    <w:rsid w:val="0073030F"/>
    <w:rsid w:val="00741AA1"/>
    <w:rsid w:val="00744A31"/>
    <w:rsid w:val="007459E1"/>
    <w:rsid w:val="00746B80"/>
    <w:rsid w:val="0075127E"/>
    <w:rsid w:val="00752B26"/>
    <w:rsid w:val="0076164B"/>
    <w:rsid w:val="00762EAD"/>
    <w:rsid w:val="00770BA9"/>
    <w:rsid w:val="00771427"/>
    <w:rsid w:val="007735A4"/>
    <w:rsid w:val="007739E7"/>
    <w:rsid w:val="007817D0"/>
    <w:rsid w:val="00790FE5"/>
    <w:rsid w:val="00791158"/>
    <w:rsid w:val="0079194C"/>
    <w:rsid w:val="00792631"/>
    <w:rsid w:val="00794A62"/>
    <w:rsid w:val="007976CD"/>
    <w:rsid w:val="007B1DBA"/>
    <w:rsid w:val="007B3DDC"/>
    <w:rsid w:val="007B5840"/>
    <w:rsid w:val="007C0FFD"/>
    <w:rsid w:val="007C5A73"/>
    <w:rsid w:val="007C7715"/>
    <w:rsid w:val="007D273F"/>
    <w:rsid w:val="007D3EE1"/>
    <w:rsid w:val="007D727F"/>
    <w:rsid w:val="007E45A0"/>
    <w:rsid w:val="007F1F3A"/>
    <w:rsid w:val="007F5AB4"/>
    <w:rsid w:val="00801CAC"/>
    <w:rsid w:val="00806161"/>
    <w:rsid w:val="00822638"/>
    <w:rsid w:val="00822DA0"/>
    <w:rsid w:val="00827477"/>
    <w:rsid w:val="0083058E"/>
    <w:rsid w:val="00832388"/>
    <w:rsid w:val="0083444E"/>
    <w:rsid w:val="00835B92"/>
    <w:rsid w:val="00846823"/>
    <w:rsid w:val="008472F8"/>
    <w:rsid w:val="00851926"/>
    <w:rsid w:val="00852243"/>
    <w:rsid w:val="00852C13"/>
    <w:rsid w:val="00854EB8"/>
    <w:rsid w:val="00857BC6"/>
    <w:rsid w:val="00865880"/>
    <w:rsid w:val="0087082A"/>
    <w:rsid w:val="0087781A"/>
    <w:rsid w:val="0088711D"/>
    <w:rsid w:val="00890369"/>
    <w:rsid w:val="008A34E8"/>
    <w:rsid w:val="008A3C2E"/>
    <w:rsid w:val="008A605C"/>
    <w:rsid w:val="008B00AD"/>
    <w:rsid w:val="008B045E"/>
    <w:rsid w:val="008B1F6B"/>
    <w:rsid w:val="008B4E18"/>
    <w:rsid w:val="008C1C1E"/>
    <w:rsid w:val="008D4374"/>
    <w:rsid w:val="008D4E30"/>
    <w:rsid w:val="008D61A1"/>
    <w:rsid w:val="008E38DE"/>
    <w:rsid w:val="008E455F"/>
    <w:rsid w:val="008E521D"/>
    <w:rsid w:val="008F023E"/>
    <w:rsid w:val="008F1D34"/>
    <w:rsid w:val="008F723E"/>
    <w:rsid w:val="00904CAA"/>
    <w:rsid w:val="00916130"/>
    <w:rsid w:val="00920D58"/>
    <w:rsid w:val="00921226"/>
    <w:rsid w:val="009251CF"/>
    <w:rsid w:val="0093690B"/>
    <w:rsid w:val="00941CBA"/>
    <w:rsid w:val="009421D2"/>
    <w:rsid w:val="00945AC7"/>
    <w:rsid w:val="00950CC1"/>
    <w:rsid w:val="0095703C"/>
    <w:rsid w:val="009600FD"/>
    <w:rsid w:val="00965B2F"/>
    <w:rsid w:val="0097027E"/>
    <w:rsid w:val="00972C3C"/>
    <w:rsid w:val="00975F4B"/>
    <w:rsid w:val="00977CF0"/>
    <w:rsid w:val="0098276F"/>
    <w:rsid w:val="0098455E"/>
    <w:rsid w:val="00985BB8"/>
    <w:rsid w:val="009860E5"/>
    <w:rsid w:val="009A1E1D"/>
    <w:rsid w:val="009A2761"/>
    <w:rsid w:val="009B1847"/>
    <w:rsid w:val="009B1984"/>
    <w:rsid w:val="009B3346"/>
    <w:rsid w:val="009B65BB"/>
    <w:rsid w:val="009C3D58"/>
    <w:rsid w:val="009C441A"/>
    <w:rsid w:val="009D0F4A"/>
    <w:rsid w:val="009D2CDC"/>
    <w:rsid w:val="009E1B18"/>
    <w:rsid w:val="009E1E2C"/>
    <w:rsid w:val="009E2263"/>
    <w:rsid w:val="009E491B"/>
    <w:rsid w:val="009F1AE7"/>
    <w:rsid w:val="009F5AE5"/>
    <w:rsid w:val="00A04AFB"/>
    <w:rsid w:val="00A10E84"/>
    <w:rsid w:val="00A20A5E"/>
    <w:rsid w:val="00A22E45"/>
    <w:rsid w:val="00A236C1"/>
    <w:rsid w:val="00A25675"/>
    <w:rsid w:val="00A27D6F"/>
    <w:rsid w:val="00A33F76"/>
    <w:rsid w:val="00A350FA"/>
    <w:rsid w:val="00A373C0"/>
    <w:rsid w:val="00A42F4B"/>
    <w:rsid w:val="00A47589"/>
    <w:rsid w:val="00A50E34"/>
    <w:rsid w:val="00A51E6F"/>
    <w:rsid w:val="00A55A6D"/>
    <w:rsid w:val="00A57633"/>
    <w:rsid w:val="00A61A1C"/>
    <w:rsid w:val="00A6490D"/>
    <w:rsid w:val="00A66C19"/>
    <w:rsid w:val="00A70425"/>
    <w:rsid w:val="00A734A2"/>
    <w:rsid w:val="00A77FEA"/>
    <w:rsid w:val="00A900D9"/>
    <w:rsid w:val="00A9213C"/>
    <w:rsid w:val="00A939E3"/>
    <w:rsid w:val="00AA0BB1"/>
    <w:rsid w:val="00AA3782"/>
    <w:rsid w:val="00AB53D4"/>
    <w:rsid w:val="00AB74DF"/>
    <w:rsid w:val="00AC1336"/>
    <w:rsid w:val="00AC395A"/>
    <w:rsid w:val="00AC3CF9"/>
    <w:rsid w:val="00AC57F1"/>
    <w:rsid w:val="00AC7D40"/>
    <w:rsid w:val="00AD1A20"/>
    <w:rsid w:val="00AE2103"/>
    <w:rsid w:val="00AE43E0"/>
    <w:rsid w:val="00AE49A9"/>
    <w:rsid w:val="00AF0C1A"/>
    <w:rsid w:val="00AF129D"/>
    <w:rsid w:val="00AF3F27"/>
    <w:rsid w:val="00B02943"/>
    <w:rsid w:val="00B03824"/>
    <w:rsid w:val="00B03885"/>
    <w:rsid w:val="00B04283"/>
    <w:rsid w:val="00B10ABA"/>
    <w:rsid w:val="00B11DD2"/>
    <w:rsid w:val="00B13207"/>
    <w:rsid w:val="00B13ACA"/>
    <w:rsid w:val="00B14EEF"/>
    <w:rsid w:val="00B22DE2"/>
    <w:rsid w:val="00B22F16"/>
    <w:rsid w:val="00B3334B"/>
    <w:rsid w:val="00B42219"/>
    <w:rsid w:val="00B47C72"/>
    <w:rsid w:val="00B505AF"/>
    <w:rsid w:val="00B50D69"/>
    <w:rsid w:val="00B51DE7"/>
    <w:rsid w:val="00B53078"/>
    <w:rsid w:val="00B53DE7"/>
    <w:rsid w:val="00B54166"/>
    <w:rsid w:val="00B558D6"/>
    <w:rsid w:val="00B609E2"/>
    <w:rsid w:val="00B62CED"/>
    <w:rsid w:val="00B63776"/>
    <w:rsid w:val="00B756D6"/>
    <w:rsid w:val="00B83558"/>
    <w:rsid w:val="00B936C8"/>
    <w:rsid w:val="00B954BB"/>
    <w:rsid w:val="00B96997"/>
    <w:rsid w:val="00B97CF8"/>
    <w:rsid w:val="00BB1B2B"/>
    <w:rsid w:val="00BB26D0"/>
    <w:rsid w:val="00BD3018"/>
    <w:rsid w:val="00BD45C4"/>
    <w:rsid w:val="00BD69AB"/>
    <w:rsid w:val="00BD6F86"/>
    <w:rsid w:val="00BE1507"/>
    <w:rsid w:val="00BE1891"/>
    <w:rsid w:val="00BE2AFC"/>
    <w:rsid w:val="00BF398A"/>
    <w:rsid w:val="00BF5F38"/>
    <w:rsid w:val="00C02552"/>
    <w:rsid w:val="00C05D42"/>
    <w:rsid w:val="00C05F5E"/>
    <w:rsid w:val="00C138A6"/>
    <w:rsid w:val="00C13C6C"/>
    <w:rsid w:val="00C15B1C"/>
    <w:rsid w:val="00C16372"/>
    <w:rsid w:val="00C17D70"/>
    <w:rsid w:val="00C20CBD"/>
    <w:rsid w:val="00C24A6A"/>
    <w:rsid w:val="00C2581C"/>
    <w:rsid w:val="00C272A7"/>
    <w:rsid w:val="00C274A6"/>
    <w:rsid w:val="00C3035A"/>
    <w:rsid w:val="00C327C1"/>
    <w:rsid w:val="00C33880"/>
    <w:rsid w:val="00C41EC7"/>
    <w:rsid w:val="00C429CF"/>
    <w:rsid w:val="00C45880"/>
    <w:rsid w:val="00C52BCC"/>
    <w:rsid w:val="00C54649"/>
    <w:rsid w:val="00C61EA9"/>
    <w:rsid w:val="00C6343D"/>
    <w:rsid w:val="00C75245"/>
    <w:rsid w:val="00C75645"/>
    <w:rsid w:val="00C75DC8"/>
    <w:rsid w:val="00C8009E"/>
    <w:rsid w:val="00C97C76"/>
    <w:rsid w:val="00CA0685"/>
    <w:rsid w:val="00CA296B"/>
    <w:rsid w:val="00CA5C71"/>
    <w:rsid w:val="00CB2A44"/>
    <w:rsid w:val="00CC494F"/>
    <w:rsid w:val="00CD1B58"/>
    <w:rsid w:val="00CD1E98"/>
    <w:rsid w:val="00CE5F86"/>
    <w:rsid w:val="00D01C2E"/>
    <w:rsid w:val="00D0578E"/>
    <w:rsid w:val="00D06DF6"/>
    <w:rsid w:val="00D07D13"/>
    <w:rsid w:val="00D07F0B"/>
    <w:rsid w:val="00D07F1C"/>
    <w:rsid w:val="00D1092C"/>
    <w:rsid w:val="00D1517B"/>
    <w:rsid w:val="00D21BD5"/>
    <w:rsid w:val="00D25ED9"/>
    <w:rsid w:val="00D26024"/>
    <w:rsid w:val="00D31930"/>
    <w:rsid w:val="00D32A24"/>
    <w:rsid w:val="00D3507E"/>
    <w:rsid w:val="00D35564"/>
    <w:rsid w:val="00D453B9"/>
    <w:rsid w:val="00D50405"/>
    <w:rsid w:val="00D5772D"/>
    <w:rsid w:val="00D62A30"/>
    <w:rsid w:val="00D643DD"/>
    <w:rsid w:val="00D70BEE"/>
    <w:rsid w:val="00D74625"/>
    <w:rsid w:val="00D81FA6"/>
    <w:rsid w:val="00D82D67"/>
    <w:rsid w:val="00D840C1"/>
    <w:rsid w:val="00D91F85"/>
    <w:rsid w:val="00D9216B"/>
    <w:rsid w:val="00D92586"/>
    <w:rsid w:val="00D938A1"/>
    <w:rsid w:val="00D9711A"/>
    <w:rsid w:val="00D9723A"/>
    <w:rsid w:val="00DA0965"/>
    <w:rsid w:val="00DB1743"/>
    <w:rsid w:val="00DB2B68"/>
    <w:rsid w:val="00DB3678"/>
    <w:rsid w:val="00DC003F"/>
    <w:rsid w:val="00DC228A"/>
    <w:rsid w:val="00DD2E69"/>
    <w:rsid w:val="00DD3939"/>
    <w:rsid w:val="00DD64E4"/>
    <w:rsid w:val="00DE5973"/>
    <w:rsid w:val="00DE645A"/>
    <w:rsid w:val="00DE7F85"/>
    <w:rsid w:val="00DF1230"/>
    <w:rsid w:val="00DF21DD"/>
    <w:rsid w:val="00DF7F64"/>
    <w:rsid w:val="00E007A1"/>
    <w:rsid w:val="00E01C59"/>
    <w:rsid w:val="00E02442"/>
    <w:rsid w:val="00E04CA6"/>
    <w:rsid w:val="00E07A0F"/>
    <w:rsid w:val="00E10021"/>
    <w:rsid w:val="00E1419B"/>
    <w:rsid w:val="00E1698C"/>
    <w:rsid w:val="00E35B96"/>
    <w:rsid w:val="00E36355"/>
    <w:rsid w:val="00E37291"/>
    <w:rsid w:val="00E4391C"/>
    <w:rsid w:val="00E43CE6"/>
    <w:rsid w:val="00E500A5"/>
    <w:rsid w:val="00E5283A"/>
    <w:rsid w:val="00E53999"/>
    <w:rsid w:val="00E56690"/>
    <w:rsid w:val="00E60346"/>
    <w:rsid w:val="00E61AB3"/>
    <w:rsid w:val="00E66942"/>
    <w:rsid w:val="00E67C8F"/>
    <w:rsid w:val="00E67D43"/>
    <w:rsid w:val="00E720A7"/>
    <w:rsid w:val="00E76045"/>
    <w:rsid w:val="00E81746"/>
    <w:rsid w:val="00E82925"/>
    <w:rsid w:val="00E82926"/>
    <w:rsid w:val="00E85600"/>
    <w:rsid w:val="00E878ED"/>
    <w:rsid w:val="00E90806"/>
    <w:rsid w:val="00E94191"/>
    <w:rsid w:val="00EA2562"/>
    <w:rsid w:val="00EB203B"/>
    <w:rsid w:val="00EB4838"/>
    <w:rsid w:val="00EC3C73"/>
    <w:rsid w:val="00EC551C"/>
    <w:rsid w:val="00EC78A6"/>
    <w:rsid w:val="00EC7A69"/>
    <w:rsid w:val="00ED57FC"/>
    <w:rsid w:val="00ED7CF5"/>
    <w:rsid w:val="00EE125E"/>
    <w:rsid w:val="00EE6DFC"/>
    <w:rsid w:val="00EE7003"/>
    <w:rsid w:val="00F01E95"/>
    <w:rsid w:val="00F03EF9"/>
    <w:rsid w:val="00F04A12"/>
    <w:rsid w:val="00F11E1B"/>
    <w:rsid w:val="00F1462D"/>
    <w:rsid w:val="00F24E7B"/>
    <w:rsid w:val="00F264DD"/>
    <w:rsid w:val="00F27203"/>
    <w:rsid w:val="00F352E6"/>
    <w:rsid w:val="00F35F08"/>
    <w:rsid w:val="00F43F35"/>
    <w:rsid w:val="00F512E5"/>
    <w:rsid w:val="00F5578C"/>
    <w:rsid w:val="00F6329D"/>
    <w:rsid w:val="00F65A4C"/>
    <w:rsid w:val="00F70460"/>
    <w:rsid w:val="00F72DB0"/>
    <w:rsid w:val="00F73839"/>
    <w:rsid w:val="00F739B2"/>
    <w:rsid w:val="00F767CA"/>
    <w:rsid w:val="00F778FB"/>
    <w:rsid w:val="00F82CD9"/>
    <w:rsid w:val="00F86F7D"/>
    <w:rsid w:val="00F91D09"/>
    <w:rsid w:val="00F94BA1"/>
    <w:rsid w:val="00F95C61"/>
    <w:rsid w:val="00F97E07"/>
    <w:rsid w:val="00FA228A"/>
    <w:rsid w:val="00FA4D47"/>
    <w:rsid w:val="00FC3A94"/>
    <w:rsid w:val="00FC54C6"/>
    <w:rsid w:val="00FC7EB7"/>
    <w:rsid w:val="00FD2287"/>
    <w:rsid w:val="00FD60C7"/>
    <w:rsid w:val="00FE0CDE"/>
    <w:rsid w:val="00FE2ED1"/>
    <w:rsid w:val="00FE4420"/>
    <w:rsid w:val="00FF171B"/>
    <w:rsid w:val="00FF6803"/>
    <w:rsid w:val="00FF6F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42"/>
      <o:rules v:ext="edit">
        <o:r id="V:Rule17" type="connector" idref="#_x0000_s1731"/>
        <o:r id="V:Rule18" type="connector" idref="#_x0000_s43778"/>
        <o:r id="V:Rule19" type="connector" idref="#_x0000_s1715"/>
        <o:r id="V:Rule20" type="connector" idref="#_x0000_s1723"/>
        <o:r id="V:Rule21" type="connector" idref="#_x0000_s1728"/>
        <o:r id="V:Rule22" type="connector" idref="#_x0000_s43779"/>
        <o:r id="V:Rule23" type="connector" idref="#_x0000_s1722"/>
        <o:r id="V:Rule24" type="connector" idref="#_x0000_s1725"/>
        <o:r id="V:Rule25" type="connector" idref="#_x0000_s1726"/>
        <o:r id="V:Rule26" type="connector" idref="#_x0000_s1736"/>
        <o:r id="V:Rule27" type="connector" idref="#_x0000_s1734"/>
        <o:r id="V:Rule28" type="connector" idref="#_x0000_s1714"/>
        <o:r id="V:Rule29" type="connector" idref="#_x0000_s1727"/>
        <o:r id="V:Rule30" type="connector" idref="#_x0000_s1713"/>
        <o:r id="V:Rule31" type="connector" idref="#_x0000_s43780"/>
        <o:r id="V:Rule32" type="connector" idref="#_x0000_s17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semiHidden/>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semiHidden/>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DE5973"/>
    <w:rPr>
      <w:rFonts w:ascii="Bookman Old Style" w:eastAsia="Times New Roman" w:hAnsi="Bookman Old Style" w:cs="Times New Roman"/>
      <w:b/>
      <w:shadow/>
      <w:color w:val="008000"/>
      <w:sz w:val="32"/>
      <w:szCs w:val="20"/>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s>
</file>

<file path=word/webSettings.xml><?xml version="1.0" encoding="utf-8"?>
<w:webSettings xmlns:r="http://schemas.openxmlformats.org/officeDocument/2006/relationships" xmlns:w="http://schemas.openxmlformats.org/wordprocessingml/2006/main">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C269-5068-4D28-A1AB-4EA1C394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2013-10-25T16:36:00Z</cp:lastPrinted>
  <dcterms:created xsi:type="dcterms:W3CDTF">2013-12-12T03:57:00Z</dcterms:created>
  <dcterms:modified xsi:type="dcterms:W3CDTF">2013-12-12T03:57:00Z</dcterms:modified>
</cp:coreProperties>
</file>