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373" w:rsidRPr="005E0373" w:rsidRDefault="005E0373" w:rsidP="005E0373">
      <w:pPr>
        <w:spacing w:line="480" w:lineRule="auto"/>
        <w:jc w:val="center"/>
        <w:rPr>
          <w:rFonts w:ascii="Times New Roman" w:hAnsi="Times New Roman"/>
          <w:b/>
          <w:sz w:val="24"/>
          <w:szCs w:val="24"/>
        </w:rPr>
      </w:pPr>
      <w:proofErr w:type="spellStart"/>
      <w:r w:rsidRPr="005E0373">
        <w:rPr>
          <w:rFonts w:ascii="Times New Roman" w:hAnsi="Times New Roman"/>
          <w:b/>
          <w:sz w:val="24"/>
          <w:szCs w:val="24"/>
        </w:rPr>
        <w:t>AUDIOLOGICAL</w:t>
      </w:r>
      <w:proofErr w:type="spellEnd"/>
      <w:r w:rsidRPr="005E0373">
        <w:rPr>
          <w:rFonts w:ascii="Times New Roman" w:hAnsi="Times New Roman"/>
          <w:b/>
          <w:sz w:val="24"/>
          <w:szCs w:val="24"/>
        </w:rPr>
        <w:t xml:space="preserve"> AND VESTIBULAR ASSESSMENT IN PERSONS WITH OSTEOPOROSIS AND OSTEOPENIA</w:t>
      </w:r>
    </w:p>
    <w:p w:rsidR="005E0373" w:rsidRPr="005E0373" w:rsidRDefault="005E0373" w:rsidP="005E0373">
      <w:pPr>
        <w:spacing w:before="240" w:line="480" w:lineRule="auto"/>
        <w:jc w:val="center"/>
        <w:rPr>
          <w:rFonts w:ascii="Times New Roman" w:hAnsi="Times New Roman"/>
          <w:b/>
          <w:sz w:val="24"/>
          <w:szCs w:val="24"/>
        </w:rPr>
      </w:pPr>
      <w:r w:rsidRPr="005E0373">
        <w:rPr>
          <w:rFonts w:ascii="Times New Roman" w:hAnsi="Times New Roman"/>
          <w:b/>
          <w:sz w:val="24"/>
          <w:szCs w:val="24"/>
        </w:rPr>
        <w:t>Project Summary</w:t>
      </w:r>
    </w:p>
    <w:p w:rsidR="005E0373" w:rsidRPr="005E0373" w:rsidRDefault="005E0373" w:rsidP="005E0373">
      <w:pPr>
        <w:pStyle w:val="NormalWeb"/>
        <w:spacing w:before="0" w:beforeAutospacing="0" w:after="0" w:afterAutospacing="0" w:line="480" w:lineRule="auto"/>
        <w:jc w:val="both"/>
      </w:pPr>
      <w:r w:rsidRPr="005E0373">
        <w:t xml:space="preserve">Calcium is vital for the functioning of the hair cells as well as for the neurotransmitter release that triggers the generation of a nerve impulse. A reduction in calcium level could therefore impair the functioning of the auditory and vestibular systems. However, the outcome of hearing and balance assessment has rarely been explored in cases with </w:t>
      </w:r>
      <w:proofErr w:type="spellStart"/>
      <w:r w:rsidRPr="005E0373">
        <w:t>osteopenia</w:t>
      </w:r>
      <w:proofErr w:type="spellEnd"/>
      <w:r w:rsidRPr="005E0373">
        <w:t xml:space="preserve"> and osteoporosis, the medical conditions associated with reduction in calcium levels. Therefore the present study aims at investigating the impact of </w:t>
      </w:r>
      <w:proofErr w:type="spellStart"/>
      <w:r w:rsidRPr="005E0373">
        <w:t>osteopenia</w:t>
      </w:r>
      <w:proofErr w:type="spellEnd"/>
      <w:r w:rsidRPr="005E0373">
        <w:t xml:space="preserve"> and osteoporosis on the outcomes of behavioural as well as objective auditory and vestibular assessment tests. The study will include 30 healthy individuals as control group and 30 individuals each in the </w:t>
      </w:r>
      <w:proofErr w:type="spellStart"/>
      <w:r w:rsidRPr="005E0373">
        <w:t>osteopenia</w:t>
      </w:r>
      <w:proofErr w:type="spellEnd"/>
      <w:r w:rsidRPr="005E0373">
        <w:t xml:space="preserve"> and osteoporosis group. The groups will be divided based on the findings of bone mineral density test. All the participants will undergo audiological tests (pure-tone </w:t>
      </w:r>
      <w:proofErr w:type="spellStart"/>
      <w:r w:rsidRPr="005E0373">
        <w:t>audiometry</w:t>
      </w:r>
      <w:proofErr w:type="spellEnd"/>
      <w:r w:rsidRPr="005E0373">
        <w:t xml:space="preserve">, </w:t>
      </w:r>
      <w:proofErr w:type="spellStart"/>
      <w:r w:rsidRPr="005E0373">
        <w:t>immittance</w:t>
      </w:r>
      <w:proofErr w:type="spellEnd"/>
      <w:r w:rsidRPr="005E0373">
        <w:t xml:space="preserve"> evaluation, </w:t>
      </w:r>
      <w:proofErr w:type="spellStart"/>
      <w:r w:rsidRPr="005E0373">
        <w:t>oto</w:t>
      </w:r>
      <w:proofErr w:type="spellEnd"/>
      <w:r w:rsidRPr="005E0373">
        <w:t xml:space="preserve">-acoustic emissions, and auditory brainstem response testing) and vestibular evaluation (Fukuda stepping, tandem gait, subjective visual vertical, cervical vestibular evoked myogenic potentials, ocular vestibular evoked myogenic potentials, and video head impulse test). Between groups comparisons will be done to find the differences in auditory and vestibular functioning between the groups. Presently, audiological and vestibular evaluations are not a part of the routine evaluation in individuals with </w:t>
      </w:r>
      <w:proofErr w:type="spellStart"/>
      <w:r w:rsidRPr="005E0373">
        <w:t>osteopenia</w:t>
      </w:r>
      <w:proofErr w:type="spellEnd"/>
      <w:r w:rsidRPr="005E0373">
        <w:t xml:space="preserve"> and osteoporosis. If the results of the study will show the existence of hearing and vestibular deficits in these individuals, it will </w:t>
      </w:r>
      <w:r w:rsidRPr="005E0373">
        <w:rPr>
          <w:bCs/>
          <w:iCs/>
        </w:rPr>
        <w:t xml:space="preserve">provide </w:t>
      </w:r>
      <w:r w:rsidRPr="005E0373">
        <w:t>testimony to the need for the inclusion of auditory and vestibular assessment as part of the routine examinations in these individuals.</w:t>
      </w:r>
    </w:p>
    <w:p w:rsidR="005E0373" w:rsidRPr="005E0373" w:rsidRDefault="005E0373" w:rsidP="005E0373">
      <w:pPr>
        <w:rPr>
          <w:rFonts w:ascii="Times New Roman" w:hAnsi="Times New Roman"/>
          <w:b/>
          <w:sz w:val="24"/>
          <w:szCs w:val="24"/>
        </w:rPr>
      </w:pPr>
      <w:r w:rsidRPr="005E0373">
        <w:rPr>
          <w:rFonts w:ascii="Times New Roman" w:hAnsi="Times New Roman"/>
          <w:b/>
          <w:sz w:val="24"/>
          <w:szCs w:val="24"/>
        </w:rPr>
        <w:br w:type="page"/>
      </w:r>
    </w:p>
    <w:p w:rsidR="005E0373" w:rsidRPr="005E0373" w:rsidRDefault="005E0373" w:rsidP="005E0373">
      <w:pPr>
        <w:spacing w:after="240" w:line="480" w:lineRule="auto"/>
        <w:jc w:val="center"/>
        <w:rPr>
          <w:rFonts w:ascii="Times New Roman" w:hAnsi="Times New Roman"/>
          <w:b/>
          <w:sz w:val="24"/>
          <w:szCs w:val="24"/>
        </w:rPr>
      </w:pPr>
      <w:r w:rsidRPr="005E0373">
        <w:rPr>
          <w:rFonts w:ascii="Times New Roman" w:hAnsi="Times New Roman"/>
          <w:b/>
          <w:sz w:val="24"/>
          <w:szCs w:val="24"/>
        </w:rPr>
        <w:t>Introduction</w:t>
      </w:r>
    </w:p>
    <w:p w:rsidR="005E0373" w:rsidRPr="005E0373" w:rsidRDefault="005E0373" w:rsidP="005E0373">
      <w:pPr>
        <w:spacing w:before="240" w:after="240" w:line="480" w:lineRule="auto"/>
        <w:jc w:val="both"/>
        <w:rPr>
          <w:rFonts w:ascii="Times New Roman" w:hAnsi="Times New Roman"/>
          <w:sz w:val="24"/>
          <w:szCs w:val="24"/>
        </w:rPr>
      </w:pPr>
      <w:r w:rsidRPr="005E0373">
        <w:rPr>
          <w:rStyle w:val="tgc"/>
          <w:rFonts w:ascii="Times New Roman" w:hAnsi="Times New Roman"/>
          <w:sz w:val="24"/>
          <w:szCs w:val="24"/>
        </w:rPr>
        <w:tab/>
        <w:t xml:space="preserve">Osteoporosis is </w:t>
      </w:r>
      <w:r w:rsidRPr="005E0373">
        <w:rPr>
          <w:rFonts w:ascii="Times New Roman" w:hAnsi="Times New Roman"/>
          <w:sz w:val="24"/>
          <w:szCs w:val="24"/>
        </w:rPr>
        <w:t xml:space="preserve">a medical condition in which the bones become brittle and fragile due to loss of tissue, typically as a result of hormonal changes, deficiency of calcium and/or deficiency of vitamin D (WHO, 2004; </w:t>
      </w:r>
      <w:r w:rsidRPr="005E0373">
        <w:rPr>
          <w:rFonts w:ascii="Times New Roman" w:eastAsia="Calibri" w:hAnsi="Times New Roman"/>
          <w:sz w:val="24"/>
          <w:szCs w:val="24"/>
        </w:rPr>
        <w:t>NIH Consensus Statement, 2000</w:t>
      </w:r>
      <w:r w:rsidRPr="005E0373">
        <w:rPr>
          <w:rFonts w:ascii="Times New Roman" w:hAnsi="Times New Roman"/>
          <w:sz w:val="24"/>
          <w:szCs w:val="24"/>
        </w:rPr>
        <w:t xml:space="preserve">). </w:t>
      </w:r>
      <w:proofErr w:type="spellStart"/>
      <w:r w:rsidRPr="005E0373">
        <w:rPr>
          <w:rFonts w:ascii="Times New Roman" w:hAnsi="Times New Roman"/>
          <w:sz w:val="24"/>
          <w:szCs w:val="24"/>
        </w:rPr>
        <w:t>Osteopenia</w:t>
      </w:r>
      <w:proofErr w:type="spellEnd"/>
      <w:r w:rsidRPr="005E0373">
        <w:rPr>
          <w:rFonts w:ascii="Times New Roman" w:hAnsi="Times New Roman"/>
          <w:sz w:val="24"/>
          <w:szCs w:val="24"/>
        </w:rPr>
        <w:t xml:space="preserve"> is also a medical condition in which the protein and mineral content of bone tissue is reduced, but less severely than in osteoporosis (WHO, 2004; </w:t>
      </w:r>
      <w:r w:rsidRPr="005E0373">
        <w:rPr>
          <w:rFonts w:ascii="Times New Roman" w:eastAsia="Calibri" w:hAnsi="Times New Roman"/>
          <w:sz w:val="24"/>
          <w:szCs w:val="24"/>
        </w:rPr>
        <w:t>NIH Consensus Statement, 2000</w:t>
      </w:r>
      <w:r w:rsidRPr="005E0373">
        <w:rPr>
          <w:rFonts w:ascii="Times New Roman" w:hAnsi="Times New Roman"/>
          <w:sz w:val="24"/>
          <w:szCs w:val="24"/>
        </w:rPr>
        <w:t>). These two pathologies thus represent a continuum along the bone mineral density measure.</w:t>
      </w:r>
    </w:p>
    <w:p w:rsidR="005E0373" w:rsidRPr="005E0373" w:rsidRDefault="005E0373" w:rsidP="005E0373">
      <w:pPr>
        <w:spacing w:before="240" w:line="480" w:lineRule="auto"/>
        <w:jc w:val="both"/>
        <w:rPr>
          <w:rFonts w:ascii="Times New Roman" w:hAnsi="Times New Roman"/>
          <w:sz w:val="24"/>
          <w:szCs w:val="24"/>
        </w:rPr>
      </w:pPr>
      <w:r w:rsidRPr="005E0373">
        <w:rPr>
          <w:rFonts w:ascii="Times New Roman" w:hAnsi="Times New Roman"/>
          <w:sz w:val="24"/>
          <w:szCs w:val="24"/>
        </w:rPr>
        <w:tab/>
        <w:t xml:space="preserve">Loss of bone mineral is a phenomenon that takes place in all human beings. This daily removal of small amounts of bone mineral, a process called </w:t>
      </w:r>
      <w:proofErr w:type="spellStart"/>
      <w:r w:rsidRPr="005E0373">
        <w:rPr>
          <w:rFonts w:ascii="Times New Roman" w:hAnsi="Times New Roman"/>
          <w:sz w:val="24"/>
          <w:szCs w:val="24"/>
        </w:rPr>
        <w:t>resorption</w:t>
      </w:r>
      <w:proofErr w:type="spellEnd"/>
      <w:r w:rsidRPr="005E0373">
        <w:rPr>
          <w:rFonts w:ascii="Times New Roman" w:hAnsi="Times New Roman"/>
          <w:sz w:val="24"/>
          <w:szCs w:val="24"/>
        </w:rPr>
        <w:t>, must be balanced by an equal deposition of new mineral if bone strength is to be preserved (</w:t>
      </w:r>
      <w:r w:rsidRPr="005E0373">
        <w:rPr>
          <w:rFonts w:ascii="Times New Roman" w:eastAsia="Calibri" w:hAnsi="Times New Roman"/>
          <w:sz w:val="24"/>
          <w:szCs w:val="24"/>
        </w:rPr>
        <w:t xml:space="preserve">International Osteoporosis Foundation, </w:t>
      </w:r>
      <w:r w:rsidRPr="005E0373">
        <w:rPr>
          <w:rFonts w:ascii="Times New Roman" w:hAnsi="Times New Roman"/>
          <w:sz w:val="24"/>
          <w:szCs w:val="24"/>
        </w:rPr>
        <w:t xml:space="preserve">2015). When this balance tips towards excessive </w:t>
      </w:r>
      <w:proofErr w:type="spellStart"/>
      <w:r w:rsidRPr="005E0373">
        <w:rPr>
          <w:rFonts w:ascii="Times New Roman" w:hAnsi="Times New Roman"/>
          <w:sz w:val="24"/>
          <w:szCs w:val="24"/>
        </w:rPr>
        <w:t>resorption</w:t>
      </w:r>
      <w:proofErr w:type="spellEnd"/>
      <w:r w:rsidRPr="005E0373">
        <w:rPr>
          <w:rFonts w:ascii="Times New Roman" w:hAnsi="Times New Roman"/>
          <w:sz w:val="24"/>
          <w:szCs w:val="24"/>
        </w:rPr>
        <w:t xml:space="preserve">, bones weaken and can become brittle and prone to fracture over time. This continual </w:t>
      </w:r>
      <w:proofErr w:type="spellStart"/>
      <w:r w:rsidRPr="005E0373">
        <w:rPr>
          <w:rFonts w:ascii="Times New Roman" w:hAnsi="Times New Roman"/>
          <w:sz w:val="24"/>
          <w:szCs w:val="24"/>
        </w:rPr>
        <w:t>resorption</w:t>
      </w:r>
      <w:proofErr w:type="spellEnd"/>
      <w:r w:rsidRPr="005E0373">
        <w:rPr>
          <w:rFonts w:ascii="Times New Roman" w:hAnsi="Times New Roman"/>
          <w:sz w:val="24"/>
          <w:szCs w:val="24"/>
        </w:rPr>
        <w:t xml:space="preserve"> and </w:t>
      </w:r>
      <w:proofErr w:type="spellStart"/>
      <w:r w:rsidRPr="005E0373">
        <w:rPr>
          <w:rFonts w:ascii="Times New Roman" w:hAnsi="Times New Roman"/>
          <w:sz w:val="24"/>
          <w:szCs w:val="24"/>
        </w:rPr>
        <w:t>redeposition</w:t>
      </w:r>
      <w:proofErr w:type="spellEnd"/>
      <w:r w:rsidRPr="005E0373">
        <w:rPr>
          <w:rFonts w:ascii="Times New Roman" w:hAnsi="Times New Roman"/>
          <w:sz w:val="24"/>
          <w:szCs w:val="24"/>
        </w:rPr>
        <w:t xml:space="preserve"> of bone mineral, often termed bone remodelling, is intimately tied to the </w:t>
      </w:r>
      <w:proofErr w:type="spellStart"/>
      <w:r w:rsidRPr="005E0373">
        <w:rPr>
          <w:rFonts w:ascii="Times New Roman" w:hAnsi="Times New Roman"/>
          <w:sz w:val="24"/>
          <w:szCs w:val="24"/>
        </w:rPr>
        <w:t>pathophysiology</w:t>
      </w:r>
      <w:proofErr w:type="spellEnd"/>
      <w:r w:rsidRPr="005E0373">
        <w:rPr>
          <w:rFonts w:ascii="Times New Roman" w:hAnsi="Times New Roman"/>
          <w:sz w:val="24"/>
          <w:szCs w:val="24"/>
        </w:rPr>
        <w:t xml:space="preserve"> of osteoporosis (</w:t>
      </w:r>
      <w:r w:rsidRPr="005E0373">
        <w:rPr>
          <w:rFonts w:ascii="Times New Roman" w:eastAsia="Calibri" w:hAnsi="Times New Roman"/>
          <w:sz w:val="24"/>
          <w:szCs w:val="24"/>
        </w:rPr>
        <w:t xml:space="preserve">International Osteoporosis Foundation, </w:t>
      </w:r>
      <w:r w:rsidRPr="005E0373">
        <w:rPr>
          <w:rFonts w:ascii="Times New Roman" w:hAnsi="Times New Roman"/>
          <w:sz w:val="24"/>
          <w:szCs w:val="24"/>
        </w:rPr>
        <w:t>2015).</w:t>
      </w:r>
    </w:p>
    <w:p w:rsidR="005E0373" w:rsidRPr="005E0373" w:rsidRDefault="005E0373" w:rsidP="005E0373">
      <w:pPr>
        <w:spacing w:before="240" w:line="480" w:lineRule="auto"/>
        <w:jc w:val="both"/>
        <w:rPr>
          <w:rFonts w:ascii="Times New Roman" w:hAnsi="Times New Roman"/>
          <w:sz w:val="24"/>
          <w:szCs w:val="24"/>
        </w:rPr>
      </w:pPr>
      <w:r w:rsidRPr="005E0373">
        <w:rPr>
          <w:rFonts w:ascii="Times New Roman" w:hAnsi="Times New Roman"/>
          <w:sz w:val="24"/>
          <w:szCs w:val="24"/>
        </w:rPr>
        <w:tab/>
        <w:t xml:space="preserve">The balance between bone </w:t>
      </w:r>
      <w:proofErr w:type="spellStart"/>
      <w:r w:rsidRPr="005E0373">
        <w:rPr>
          <w:rFonts w:ascii="Times New Roman" w:hAnsi="Times New Roman"/>
          <w:sz w:val="24"/>
          <w:szCs w:val="24"/>
        </w:rPr>
        <w:t>resorption</w:t>
      </w:r>
      <w:proofErr w:type="spellEnd"/>
      <w:r w:rsidRPr="005E0373">
        <w:rPr>
          <w:rFonts w:ascii="Times New Roman" w:hAnsi="Times New Roman"/>
          <w:sz w:val="24"/>
          <w:szCs w:val="24"/>
        </w:rPr>
        <w:t xml:space="preserve"> and bone deposition is determined by the activities of two principle cell types, </w:t>
      </w:r>
      <w:proofErr w:type="spellStart"/>
      <w:r w:rsidRPr="005E0373">
        <w:rPr>
          <w:rFonts w:ascii="Times New Roman" w:hAnsi="Times New Roman"/>
          <w:sz w:val="24"/>
          <w:szCs w:val="24"/>
        </w:rPr>
        <w:t>osteoclasts</w:t>
      </w:r>
      <w:proofErr w:type="spellEnd"/>
      <w:r w:rsidRPr="005E0373">
        <w:rPr>
          <w:rFonts w:ascii="Times New Roman" w:hAnsi="Times New Roman"/>
          <w:sz w:val="24"/>
          <w:szCs w:val="24"/>
        </w:rPr>
        <w:t xml:space="preserve"> and </w:t>
      </w:r>
      <w:proofErr w:type="spellStart"/>
      <w:r w:rsidRPr="005E0373">
        <w:rPr>
          <w:rFonts w:ascii="Times New Roman" w:hAnsi="Times New Roman"/>
          <w:sz w:val="24"/>
          <w:szCs w:val="24"/>
        </w:rPr>
        <w:t>osteoblasts</w:t>
      </w:r>
      <w:proofErr w:type="spellEnd"/>
      <w:r w:rsidRPr="005E0373">
        <w:rPr>
          <w:rFonts w:ascii="Times New Roman" w:hAnsi="Times New Roman"/>
          <w:sz w:val="24"/>
          <w:szCs w:val="24"/>
        </w:rPr>
        <w:t xml:space="preserve"> (Huang &amp; Putney, 2011). The alterations in the intracellular calcium ion (Ca</w:t>
      </w:r>
      <w:r w:rsidRPr="005E0373">
        <w:rPr>
          <w:rFonts w:ascii="Times New Roman" w:hAnsi="Times New Roman"/>
          <w:sz w:val="24"/>
          <w:szCs w:val="24"/>
          <w:vertAlign w:val="superscript"/>
        </w:rPr>
        <w:t>2+</w:t>
      </w:r>
      <w:r w:rsidRPr="005E0373">
        <w:rPr>
          <w:rFonts w:ascii="Times New Roman" w:hAnsi="Times New Roman"/>
          <w:sz w:val="24"/>
          <w:szCs w:val="24"/>
        </w:rPr>
        <w:t xml:space="preserve">) concentrations regulate differentiation and functions of </w:t>
      </w:r>
      <w:proofErr w:type="spellStart"/>
      <w:r w:rsidRPr="005E0373">
        <w:rPr>
          <w:rFonts w:ascii="Times New Roman" w:hAnsi="Times New Roman"/>
          <w:sz w:val="24"/>
          <w:szCs w:val="24"/>
        </w:rPr>
        <w:t>osteoclasts</w:t>
      </w:r>
      <w:proofErr w:type="spellEnd"/>
      <w:r w:rsidRPr="005E0373">
        <w:rPr>
          <w:rFonts w:ascii="Times New Roman" w:hAnsi="Times New Roman"/>
          <w:sz w:val="24"/>
          <w:szCs w:val="24"/>
        </w:rPr>
        <w:t xml:space="preserve"> (Huang &amp; Putney, 2011). Further, the changes in intracellular Ca</w:t>
      </w:r>
      <w:r w:rsidRPr="005E0373">
        <w:rPr>
          <w:rFonts w:ascii="Times New Roman" w:hAnsi="Times New Roman"/>
          <w:sz w:val="24"/>
          <w:szCs w:val="24"/>
          <w:vertAlign w:val="superscript"/>
        </w:rPr>
        <w:t xml:space="preserve">2+ </w:t>
      </w:r>
      <w:r w:rsidRPr="005E0373">
        <w:rPr>
          <w:rFonts w:ascii="Times New Roman" w:hAnsi="Times New Roman"/>
          <w:sz w:val="24"/>
          <w:szCs w:val="24"/>
        </w:rPr>
        <w:t>concentrations are known to function as universal triggers of diverse signalling pathways, including enzyme activation, cell survival and cell differentiation (Huang &amp; Putney, 2011). This would mean that a reduction in the Ca</w:t>
      </w:r>
      <w:r w:rsidRPr="005E0373">
        <w:rPr>
          <w:rFonts w:ascii="Times New Roman" w:hAnsi="Times New Roman"/>
          <w:sz w:val="24"/>
          <w:szCs w:val="24"/>
          <w:vertAlign w:val="superscript"/>
        </w:rPr>
        <w:t>2+</w:t>
      </w:r>
      <w:r w:rsidRPr="005E0373">
        <w:rPr>
          <w:rFonts w:ascii="Times New Roman" w:hAnsi="Times New Roman"/>
          <w:sz w:val="24"/>
          <w:szCs w:val="24"/>
        </w:rPr>
        <w:t xml:space="preserve"> concentration is not only likely to affect cell differentiation and survival but also affect the functioning of various neural pathways. All this put together increases the brittleness of various bones of the body.</w:t>
      </w:r>
    </w:p>
    <w:p w:rsidR="005E0373" w:rsidRPr="005E0373" w:rsidRDefault="005E0373" w:rsidP="00D21DE0">
      <w:pPr>
        <w:spacing w:before="240" w:after="240" w:line="480" w:lineRule="auto"/>
        <w:jc w:val="both"/>
        <w:rPr>
          <w:rFonts w:ascii="Times New Roman" w:hAnsi="Times New Roman"/>
          <w:sz w:val="24"/>
          <w:szCs w:val="24"/>
        </w:rPr>
      </w:pPr>
      <w:r w:rsidRPr="005E0373">
        <w:rPr>
          <w:rFonts w:ascii="Times New Roman" w:hAnsi="Times New Roman"/>
          <w:sz w:val="24"/>
          <w:szCs w:val="24"/>
        </w:rPr>
        <w:lastRenderedPageBreak/>
        <w:tab/>
        <w:t>According to the International Osteoporosis Foundation (IOF), 40% of women in the world have fracture due to osteoporosis during their lifetime. Fractures are associated with increased morbidity/mortality and diminished quality of life in a variety of ways, including decline in physical and emotional functioning (</w:t>
      </w:r>
      <w:proofErr w:type="spellStart"/>
      <w:r w:rsidRPr="005E0373">
        <w:rPr>
          <w:rFonts w:ascii="Times New Roman" w:hAnsi="Times New Roman"/>
          <w:sz w:val="24"/>
          <w:szCs w:val="24"/>
        </w:rPr>
        <w:t>Randell</w:t>
      </w:r>
      <w:proofErr w:type="spellEnd"/>
      <w:r w:rsidRPr="005E0373">
        <w:rPr>
          <w:rFonts w:ascii="Times New Roman" w:hAnsi="Times New Roman"/>
          <w:sz w:val="24"/>
          <w:szCs w:val="24"/>
        </w:rPr>
        <w:t xml:space="preserve"> et al., 2000). Falls are responsible for 90% of the hip fractures (Suzuki, Kim, Yoshida &amp; </w:t>
      </w:r>
      <w:proofErr w:type="spellStart"/>
      <w:r w:rsidRPr="005E0373">
        <w:rPr>
          <w:rFonts w:ascii="Times New Roman" w:hAnsi="Times New Roman"/>
          <w:sz w:val="24"/>
          <w:szCs w:val="24"/>
        </w:rPr>
        <w:t>Ishizaki</w:t>
      </w:r>
      <w:proofErr w:type="spellEnd"/>
      <w:r w:rsidRPr="005E0373">
        <w:rPr>
          <w:rFonts w:ascii="Times New Roman" w:hAnsi="Times New Roman"/>
          <w:sz w:val="24"/>
          <w:szCs w:val="24"/>
        </w:rPr>
        <w:t>, 2004) and are the sixth leading cause of death among patients aged 65 years and older (</w:t>
      </w:r>
      <w:proofErr w:type="spellStart"/>
      <w:r w:rsidRPr="005E0373">
        <w:rPr>
          <w:rFonts w:ascii="Times New Roman" w:hAnsi="Times New Roman"/>
          <w:sz w:val="24"/>
          <w:szCs w:val="24"/>
        </w:rPr>
        <w:t>Baraff</w:t>
      </w:r>
      <w:proofErr w:type="spellEnd"/>
      <w:r w:rsidRPr="005E0373">
        <w:rPr>
          <w:rFonts w:ascii="Times New Roman" w:hAnsi="Times New Roman"/>
          <w:sz w:val="24"/>
          <w:szCs w:val="24"/>
        </w:rPr>
        <w:t>, Della, Williams &amp; Sanders, 1999). In addition to the high mortality, there are other deleterious consequences of falls including restriction of mobility, disability, social isolation, insecurity and fear, inducing a cascade of events that are harmful to health and quality of life in the elderly (</w:t>
      </w:r>
      <w:proofErr w:type="spellStart"/>
      <w:r w:rsidRPr="005E0373">
        <w:rPr>
          <w:rFonts w:ascii="Times New Roman" w:hAnsi="Times New Roman"/>
          <w:sz w:val="24"/>
          <w:szCs w:val="24"/>
        </w:rPr>
        <w:t>Lachman</w:t>
      </w:r>
      <w:proofErr w:type="spellEnd"/>
      <w:r w:rsidRPr="005E0373">
        <w:rPr>
          <w:rFonts w:ascii="Times New Roman" w:hAnsi="Times New Roman"/>
          <w:sz w:val="24"/>
          <w:szCs w:val="24"/>
        </w:rPr>
        <w:t xml:space="preserve"> et al., 1998; </w:t>
      </w:r>
      <w:proofErr w:type="spellStart"/>
      <w:r w:rsidRPr="005E0373">
        <w:rPr>
          <w:rFonts w:ascii="Times New Roman" w:hAnsi="Times New Roman"/>
          <w:sz w:val="24"/>
          <w:szCs w:val="24"/>
        </w:rPr>
        <w:t>Legters</w:t>
      </w:r>
      <w:proofErr w:type="spellEnd"/>
      <w:r w:rsidRPr="005E0373">
        <w:rPr>
          <w:rFonts w:ascii="Times New Roman" w:hAnsi="Times New Roman"/>
          <w:sz w:val="24"/>
          <w:szCs w:val="24"/>
        </w:rPr>
        <w:t>, 2002). Research suggests that altered balance is the greatest contributor towards falls in the elderly, with a high correlation between balance deficit and incidence of falls (</w:t>
      </w:r>
      <w:proofErr w:type="spellStart"/>
      <w:r w:rsidRPr="005E0373">
        <w:rPr>
          <w:rFonts w:ascii="Times New Roman" w:hAnsi="Times New Roman"/>
          <w:sz w:val="24"/>
          <w:szCs w:val="24"/>
        </w:rPr>
        <w:t>Silsupadol</w:t>
      </w:r>
      <w:proofErr w:type="spellEnd"/>
      <w:r w:rsidRPr="005E0373">
        <w:rPr>
          <w:rFonts w:ascii="Times New Roman" w:hAnsi="Times New Roman"/>
          <w:sz w:val="24"/>
          <w:szCs w:val="24"/>
        </w:rPr>
        <w:t xml:space="preserve">, </w:t>
      </w:r>
      <w:proofErr w:type="spellStart"/>
      <w:r w:rsidRPr="005E0373">
        <w:rPr>
          <w:rFonts w:ascii="Times New Roman" w:hAnsi="Times New Roman"/>
          <w:sz w:val="24"/>
          <w:szCs w:val="24"/>
        </w:rPr>
        <w:t>Siu</w:t>
      </w:r>
      <w:proofErr w:type="spellEnd"/>
      <w:r w:rsidRPr="005E0373">
        <w:rPr>
          <w:rFonts w:ascii="Times New Roman" w:hAnsi="Times New Roman"/>
          <w:sz w:val="24"/>
          <w:szCs w:val="24"/>
        </w:rPr>
        <w:t xml:space="preserve">, </w:t>
      </w:r>
      <w:proofErr w:type="spellStart"/>
      <w:r w:rsidRPr="005E0373">
        <w:rPr>
          <w:rFonts w:ascii="Times New Roman" w:hAnsi="Times New Roman"/>
          <w:sz w:val="24"/>
          <w:szCs w:val="24"/>
        </w:rPr>
        <w:t>Shumway</w:t>
      </w:r>
      <w:proofErr w:type="spellEnd"/>
      <w:r w:rsidRPr="005E0373">
        <w:rPr>
          <w:rFonts w:ascii="Times New Roman" w:hAnsi="Times New Roman"/>
          <w:sz w:val="24"/>
          <w:szCs w:val="24"/>
        </w:rPr>
        <w:t xml:space="preserve">-Cook &amp; </w:t>
      </w:r>
      <w:proofErr w:type="spellStart"/>
      <w:r w:rsidRPr="005E0373">
        <w:rPr>
          <w:rFonts w:ascii="Times New Roman" w:hAnsi="Times New Roman"/>
          <w:sz w:val="24"/>
          <w:szCs w:val="24"/>
        </w:rPr>
        <w:t>Woollacott</w:t>
      </w:r>
      <w:proofErr w:type="spellEnd"/>
      <w:r w:rsidRPr="005E0373">
        <w:rPr>
          <w:rFonts w:ascii="Times New Roman" w:hAnsi="Times New Roman"/>
          <w:sz w:val="24"/>
          <w:szCs w:val="24"/>
        </w:rPr>
        <w:t xml:space="preserve">, 2006). Furthermore, the programs targeting mainly balance training have been demonstrated to be effective in prevention of falls among the elderly (Rogers, </w:t>
      </w:r>
      <w:proofErr w:type="spellStart"/>
      <w:r w:rsidRPr="005E0373">
        <w:rPr>
          <w:rFonts w:ascii="Times New Roman" w:hAnsi="Times New Roman"/>
          <w:sz w:val="24"/>
          <w:szCs w:val="24"/>
        </w:rPr>
        <w:t>Fernanadez</w:t>
      </w:r>
      <w:proofErr w:type="spellEnd"/>
      <w:r w:rsidRPr="005E0373">
        <w:rPr>
          <w:rFonts w:ascii="Times New Roman" w:hAnsi="Times New Roman"/>
          <w:sz w:val="24"/>
          <w:szCs w:val="24"/>
        </w:rPr>
        <w:t xml:space="preserve"> &amp; </w:t>
      </w:r>
      <w:proofErr w:type="spellStart"/>
      <w:r w:rsidRPr="005E0373">
        <w:rPr>
          <w:rFonts w:ascii="Times New Roman" w:hAnsi="Times New Roman"/>
          <w:sz w:val="24"/>
          <w:szCs w:val="24"/>
        </w:rPr>
        <w:t>Bohlken</w:t>
      </w:r>
      <w:proofErr w:type="spellEnd"/>
      <w:r w:rsidRPr="005E0373">
        <w:rPr>
          <w:rFonts w:ascii="Times New Roman" w:hAnsi="Times New Roman"/>
          <w:sz w:val="24"/>
          <w:szCs w:val="24"/>
        </w:rPr>
        <w:t>, 2001), many of whom might be affected with low bone mineral density.</w:t>
      </w:r>
      <w:r w:rsidRPr="005E0373">
        <w:rPr>
          <w:rFonts w:ascii="Times New Roman" w:hAnsi="Times New Roman"/>
          <w:sz w:val="24"/>
          <w:szCs w:val="24"/>
        </w:rPr>
        <w:tab/>
      </w:r>
    </w:p>
    <w:p w:rsidR="005E0373" w:rsidRPr="005E0373" w:rsidRDefault="005E0373" w:rsidP="005E0373">
      <w:pPr>
        <w:spacing w:line="480" w:lineRule="auto"/>
        <w:jc w:val="both"/>
        <w:rPr>
          <w:rFonts w:ascii="Times New Roman" w:hAnsi="Times New Roman"/>
          <w:b/>
          <w:bCs/>
          <w:sz w:val="24"/>
          <w:szCs w:val="24"/>
        </w:rPr>
      </w:pPr>
      <w:r w:rsidRPr="005E0373">
        <w:rPr>
          <w:rFonts w:ascii="Times New Roman" w:hAnsi="Times New Roman"/>
          <w:b/>
          <w:bCs/>
          <w:sz w:val="24"/>
          <w:szCs w:val="24"/>
        </w:rPr>
        <w:t>Need for the study</w:t>
      </w:r>
    </w:p>
    <w:p w:rsidR="005E0373" w:rsidRPr="005E0373" w:rsidRDefault="005E0373" w:rsidP="005E0373">
      <w:pPr>
        <w:spacing w:line="480" w:lineRule="auto"/>
        <w:jc w:val="both"/>
        <w:rPr>
          <w:rFonts w:ascii="Times New Roman" w:hAnsi="Times New Roman"/>
          <w:sz w:val="24"/>
          <w:szCs w:val="24"/>
        </w:rPr>
      </w:pPr>
      <w:r w:rsidRPr="005E0373">
        <w:rPr>
          <w:rFonts w:ascii="Times New Roman" w:hAnsi="Times New Roman"/>
          <w:sz w:val="24"/>
          <w:szCs w:val="24"/>
        </w:rPr>
        <w:tab/>
        <w:t xml:space="preserve">It is well documented that intercellular calcium helps in the regulation of nerve impulses and is also vital for the functioning of the hair cells as well as for the neurotransmitter release from the hair cells that triggers the generation of a nerve impulse (Chan &amp; </w:t>
      </w:r>
      <w:proofErr w:type="spellStart"/>
      <w:r w:rsidRPr="005E0373">
        <w:rPr>
          <w:rFonts w:ascii="Times New Roman" w:hAnsi="Times New Roman"/>
          <w:sz w:val="24"/>
          <w:szCs w:val="24"/>
        </w:rPr>
        <w:t>Hudspeth</w:t>
      </w:r>
      <w:proofErr w:type="spellEnd"/>
      <w:r w:rsidRPr="005E0373">
        <w:rPr>
          <w:rFonts w:ascii="Times New Roman" w:hAnsi="Times New Roman"/>
          <w:sz w:val="24"/>
          <w:szCs w:val="24"/>
        </w:rPr>
        <w:t xml:space="preserve">, 2005; Huang &amp; Putney, 2011). Thus, reduced calcium could lead to improper release of neurotransmitter even at the auditory and vestibular periphery, leading to hearing, balance and postural deficits. Further, </w:t>
      </w:r>
      <w:proofErr w:type="spellStart"/>
      <w:r w:rsidRPr="005E0373">
        <w:rPr>
          <w:rFonts w:ascii="Times New Roman" w:hAnsi="Times New Roman"/>
          <w:sz w:val="24"/>
          <w:szCs w:val="24"/>
        </w:rPr>
        <w:t>Madureira</w:t>
      </w:r>
      <w:proofErr w:type="spellEnd"/>
      <w:r w:rsidRPr="005E0373">
        <w:rPr>
          <w:rFonts w:ascii="Times New Roman" w:hAnsi="Times New Roman"/>
          <w:sz w:val="24"/>
          <w:szCs w:val="24"/>
        </w:rPr>
        <w:t xml:space="preserve"> et al (2010) observed that the older adults who experienced falls had impaired balance function. Since old age is found to be associated with reduction in Ca</w:t>
      </w:r>
      <w:r w:rsidRPr="005E0373">
        <w:rPr>
          <w:rFonts w:ascii="Times New Roman" w:hAnsi="Times New Roman"/>
          <w:sz w:val="24"/>
          <w:szCs w:val="24"/>
          <w:vertAlign w:val="superscript"/>
        </w:rPr>
        <w:t>2+</w:t>
      </w:r>
      <w:r w:rsidRPr="005E0373">
        <w:rPr>
          <w:rFonts w:ascii="Times New Roman" w:hAnsi="Times New Roman"/>
          <w:sz w:val="24"/>
          <w:szCs w:val="24"/>
        </w:rPr>
        <w:t xml:space="preserve"> concentration, there is a likelihood that the impairment of </w:t>
      </w:r>
      <w:r w:rsidRPr="005E0373">
        <w:rPr>
          <w:rFonts w:ascii="Times New Roman" w:hAnsi="Times New Roman"/>
          <w:sz w:val="24"/>
          <w:szCs w:val="24"/>
        </w:rPr>
        <w:lastRenderedPageBreak/>
        <w:t>balance function in these individuals might have been caused by the decreased calcium concentration (</w:t>
      </w:r>
      <w:proofErr w:type="spellStart"/>
      <w:r w:rsidRPr="005E0373">
        <w:rPr>
          <w:rFonts w:ascii="Times New Roman" w:hAnsi="Times New Roman"/>
          <w:sz w:val="24"/>
          <w:szCs w:val="24"/>
        </w:rPr>
        <w:t>osteopenia</w:t>
      </w:r>
      <w:proofErr w:type="spellEnd"/>
      <w:r w:rsidRPr="005E0373">
        <w:rPr>
          <w:rFonts w:ascii="Times New Roman" w:hAnsi="Times New Roman"/>
          <w:sz w:val="24"/>
          <w:szCs w:val="24"/>
        </w:rPr>
        <w:t>/osteoporosis). Therefore it appears that there could be a relationship between the reduced levels of calcium and balance sustenance ability in an individual. However, this aspect has been sparingly investigated.</w:t>
      </w:r>
    </w:p>
    <w:p w:rsidR="005E0373" w:rsidRPr="005E0373" w:rsidRDefault="005E0373" w:rsidP="005E0373">
      <w:pPr>
        <w:spacing w:before="240" w:line="480" w:lineRule="auto"/>
        <w:jc w:val="both"/>
        <w:rPr>
          <w:rFonts w:ascii="Times New Roman" w:hAnsi="Times New Roman"/>
          <w:sz w:val="24"/>
          <w:szCs w:val="24"/>
        </w:rPr>
      </w:pPr>
      <w:r w:rsidRPr="005E0373">
        <w:rPr>
          <w:rFonts w:ascii="Times New Roman" w:hAnsi="Times New Roman"/>
          <w:sz w:val="24"/>
          <w:szCs w:val="24"/>
        </w:rPr>
        <w:tab/>
        <w:t xml:space="preserve">The altered bone composition results in structural changes of the bones such as </w:t>
      </w:r>
      <w:proofErr w:type="spellStart"/>
      <w:r w:rsidRPr="005E0373">
        <w:rPr>
          <w:rFonts w:ascii="Times New Roman" w:hAnsi="Times New Roman"/>
          <w:sz w:val="24"/>
          <w:szCs w:val="24"/>
        </w:rPr>
        <w:t>kyphosis</w:t>
      </w:r>
      <w:proofErr w:type="spellEnd"/>
      <w:r w:rsidRPr="005E0373">
        <w:rPr>
          <w:rFonts w:ascii="Times New Roman" w:hAnsi="Times New Roman"/>
          <w:sz w:val="24"/>
          <w:szCs w:val="24"/>
        </w:rPr>
        <w:t xml:space="preserve"> (</w:t>
      </w:r>
      <w:proofErr w:type="spellStart"/>
      <w:r w:rsidRPr="005E0373">
        <w:rPr>
          <w:rFonts w:ascii="Times New Roman" w:hAnsi="Times New Roman"/>
          <w:sz w:val="24"/>
          <w:szCs w:val="24"/>
        </w:rPr>
        <w:t>Sinaki</w:t>
      </w:r>
      <w:proofErr w:type="spellEnd"/>
      <w:r w:rsidRPr="005E0373">
        <w:rPr>
          <w:rFonts w:ascii="Times New Roman" w:hAnsi="Times New Roman"/>
          <w:sz w:val="24"/>
          <w:szCs w:val="24"/>
        </w:rPr>
        <w:t xml:space="preserve">, </w:t>
      </w:r>
      <w:proofErr w:type="spellStart"/>
      <w:r w:rsidRPr="005E0373">
        <w:rPr>
          <w:rFonts w:ascii="Times New Roman" w:hAnsi="Times New Roman"/>
          <w:sz w:val="24"/>
          <w:szCs w:val="24"/>
        </w:rPr>
        <w:t>Brey</w:t>
      </w:r>
      <w:proofErr w:type="spellEnd"/>
      <w:r w:rsidRPr="005E0373">
        <w:rPr>
          <w:rFonts w:ascii="Times New Roman" w:hAnsi="Times New Roman"/>
          <w:sz w:val="24"/>
          <w:szCs w:val="24"/>
        </w:rPr>
        <w:t xml:space="preserve">, Hughes, Larson &amp; Kaufman, 2005), which can also lead to balance issues. In a study by </w:t>
      </w:r>
      <w:proofErr w:type="spellStart"/>
      <w:r w:rsidRPr="005E0373">
        <w:rPr>
          <w:rFonts w:ascii="Times New Roman" w:hAnsi="Times New Roman"/>
          <w:sz w:val="24"/>
          <w:szCs w:val="24"/>
        </w:rPr>
        <w:t>Abreu</w:t>
      </w:r>
      <w:proofErr w:type="spellEnd"/>
      <w:r w:rsidRPr="005E0373">
        <w:rPr>
          <w:rFonts w:ascii="Times New Roman" w:hAnsi="Times New Roman"/>
          <w:sz w:val="24"/>
          <w:szCs w:val="24"/>
        </w:rPr>
        <w:t xml:space="preserve"> et al (2010), it was found that women with osteoporosis had worst balance and maximum oscillation in evaluation of balance using the </w:t>
      </w:r>
      <w:proofErr w:type="spellStart"/>
      <w:r w:rsidRPr="005E0373">
        <w:rPr>
          <w:rFonts w:ascii="Times New Roman" w:hAnsi="Times New Roman"/>
          <w:sz w:val="24"/>
          <w:szCs w:val="24"/>
        </w:rPr>
        <w:t>Polhemus</w:t>
      </w:r>
      <w:proofErr w:type="spellEnd"/>
      <w:r w:rsidRPr="005E0373">
        <w:rPr>
          <w:rFonts w:ascii="Times New Roman" w:hAnsi="Times New Roman"/>
          <w:sz w:val="24"/>
          <w:szCs w:val="24"/>
        </w:rPr>
        <w:t xml:space="preserve"> system in four upright postural situations when compared to non-osteoporotic women. In the group with osteoporosis, Lynn et al (1997) observed larger sway amplitudes and inappropriate use of balance maintenance strategies than the controls when evaluated using the computerised dynamic </w:t>
      </w:r>
      <w:proofErr w:type="spellStart"/>
      <w:r w:rsidRPr="005E0373">
        <w:rPr>
          <w:rFonts w:ascii="Times New Roman" w:hAnsi="Times New Roman"/>
          <w:sz w:val="24"/>
          <w:szCs w:val="24"/>
        </w:rPr>
        <w:t>posturography</w:t>
      </w:r>
      <w:proofErr w:type="spellEnd"/>
      <w:r w:rsidRPr="005E0373">
        <w:rPr>
          <w:rFonts w:ascii="Times New Roman" w:hAnsi="Times New Roman"/>
          <w:sz w:val="24"/>
          <w:szCs w:val="24"/>
        </w:rPr>
        <w:t xml:space="preserve"> (CDP). Recent evidences suggest that the density of </w:t>
      </w:r>
      <w:proofErr w:type="spellStart"/>
      <w:r w:rsidRPr="005E0373">
        <w:rPr>
          <w:rFonts w:ascii="Times New Roman" w:hAnsi="Times New Roman"/>
          <w:sz w:val="24"/>
          <w:szCs w:val="24"/>
        </w:rPr>
        <w:t>otoconia</w:t>
      </w:r>
      <w:proofErr w:type="spellEnd"/>
      <w:r w:rsidRPr="005E0373">
        <w:rPr>
          <w:rFonts w:ascii="Times New Roman" w:hAnsi="Times New Roman"/>
          <w:sz w:val="24"/>
          <w:szCs w:val="24"/>
        </w:rPr>
        <w:t xml:space="preserve"> is reduced in adult female osteoporotic rats (</w:t>
      </w:r>
      <w:proofErr w:type="spellStart"/>
      <w:r w:rsidRPr="005E0373">
        <w:rPr>
          <w:rFonts w:ascii="Times New Roman" w:hAnsi="Times New Roman"/>
          <w:sz w:val="24"/>
          <w:szCs w:val="24"/>
        </w:rPr>
        <w:t>Vibert</w:t>
      </w:r>
      <w:proofErr w:type="spellEnd"/>
      <w:r w:rsidRPr="005E0373">
        <w:rPr>
          <w:rFonts w:ascii="Times New Roman" w:hAnsi="Times New Roman"/>
          <w:sz w:val="24"/>
          <w:szCs w:val="24"/>
        </w:rPr>
        <w:t xml:space="preserve"> et al, 2008). Since </w:t>
      </w:r>
      <w:proofErr w:type="spellStart"/>
      <w:r w:rsidRPr="005E0373">
        <w:rPr>
          <w:rFonts w:ascii="Times New Roman" w:hAnsi="Times New Roman"/>
          <w:sz w:val="24"/>
          <w:szCs w:val="24"/>
        </w:rPr>
        <w:t>otoconia</w:t>
      </w:r>
      <w:proofErr w:type="spellEnd"/>
      <w:r w:rsidRPr="005E0373">
        <w:rPr>
          <w:rFonts w:ascii="Times New Roman" w:hAnsi="Times New Roman"/>
          <w:sz w:val="24"/>
          <w:szCs w:val="24"/>
        </w:rPr>
        <w:t xml:space="preserve"> are present in the utricle and </w:t>
      </w:r>
      <w:proofErr w:type="spellStart"/>
      <w:r w:rsidRPr="005E0373">
        <w:rPr>
          <w:rFonts w:ascii="Times New Roman" w:hAnsi="Times New Roman"/>
          <w:sz w:val="24"/>
          <w:szCs w:val="24"/>
        </w:rPr>
        <w:t>saccule</w:t>
      </w:r>
      <w:proofErr w:type="spellEnd"/>
      <w:r w:rsidRPr="005E0373">
        <w:rPr>
          <w:rFonts w:ascii="Times New Roman" w:hAnsi="Times New Roman"/>
          <w:sz w:val="24"/>
          <w:szCs w:val="24"/>
        </w:rPr>
        <w:t xml:space="preserve"> which are vital for generating the vestibular evoked myogenic potentials (Colebatch &amp; </w:t>
      </w:r>
      <w:proofErr w:type="spellStart"/>
      <w:r w:rsidRPr="005E0373">
        <w:rPr>
          <w:rFonts w:ascii="Times New Roman" w:hAnsi="Times New Roman"/>
          <w:sz w:val="24"/>
          <w:szCs w:val="24"/>
        </w:rPr>
        <w:t>Halmagyi</w:t>
      </w:r>
      <w:proofErr w:type="spellEnd"/>
      <w:r w:rsidRPr="005E0373">
        <w:rPr>
          <w:rFonts w:ascii="Times New Roman" w:hAnsi="Times New Roman"/>
          <w:sz w:val="24"/>
          <w:szCs w:val="24"/>
        </w:rPr>
        <w:t xml:space="preserve">, 1992; </w:t>
      </w:r>
      <w:proofErr w:type="spellStart"/>
      <w:r w:rsidRPr="005E0373">
        <w:rPr>
          <w:rFonts w:ascii="Times New Roman" w:hAnsi="Times New Roman"/>
          <w:sz w:val="24"/>
          <w:szCs w:val="24"/>
        </w:rPr>
        <w:t>Curthoys</w:t>
      </w:r>
      <w:proofErr w:type="spellEnd"/>
      <w:r w:rsidRPr="005E0373">
        <w:rPr>
          <w:rFonts w:ascii="Times New Roman" w:hAnsi="Times New Roman"/>
          <w:sz w:val="24"/>
          <w:szCs w:val="24"/>
        </w:rPr>
        <w:t xml:space="preserve"> et al, 2010), impairment of VEMP could be expected in these patients. However, this has not been investigated, to the best of our knowledge.</w:t>
      </w:r>
    </w:p>
    <w:p w:rsidR="005E0373" w:rsidRPr="005E0373" w:rsidRDefault="005E0373" w:rsidP="005E0373">
      <w:pPr>
        <w:spacing w:before="240" w:line="480" w:lineRule="auto"/>
        <w:ind w:firstLine="720"/>
        <w:jc w:val="both"/>
        <w:rPr>
          <w:rFonts w:ascii="Times New Roman" w:hAnsi="Times New Roman"/>
          <w:sz w:val="24"/>
          <w:szCs w:val="24"/>
        </w:rPr>
      </w:pPr>
      <w:r w:rsidRPr="005E0373">
        <w:rPr>
          <w:rFonts w:ascii="Times New Roman" w:hAnsi="Times New Roman"/>
          <w:sz w:val="24"/>
          <w:szCs w:val="24"/>
        </w:rPr>
        <w:t>Decrease in the bone mineral density is also known to cause absorption of bones in the middle ear, further causing thinning of them, and changing the middle ear characteristics (</w:t>
      </w:r>
      <w:proofErr w:type="spellStart"/>
      <w:r w:rsidRPr="005E0373">
        <w:rPr>
          <w:rFonts w:ascii="Times New Roman" w:hAnsi="Times New Roman"/>
          <w:sz w:val="24"/>
          <w:szCs w:val="24"/>
        </w:rPr>
        <w:t>Kanzaki</w:t>
      </w:r>
      <w:proofErr w:type="spellEnd"/>
      <w:r w:rsidRPr="005E0373">
        <w:rPr>
          <w:rFonts w:ascii="Times New Roman" w:hAnsi="Times New Roman"/>
          <w:sz w:val="24"/>
          <w:szCs w:val="24"/>
        </w:rPr>
        <w:t>, Ito, Takada, Ogawa &amp; Matsuo, 2006). Changes can also occur due to altered stiffness in the soft tissue elements of the middle ear (</w:t>
      </w:r>
      <w:proofErr w:type="spellStart"/>
      <w:r w:rsidRPr="005E0373">
        <w:rPr>
          <w:rFonts w:ascii="Times New Roman" w:hAnsi="Times New Roman"/>
          <w:sz w:val="24"/>
          <w:szCs w:val="24"/>
        </w:rPr>
        <w:t>Nager</w:t>
      </w:r>
      <w:proofErr w:type="spellEnd"/>
      <w:r w:rsidRPr="005E0373">
        <w:rPr>
          <w:rFonts w:ascii="Times New Roman" w:hAnsi="Times New Roman"/>
          <w:sz w:val="24"/>
          <w:szCs w:val="24"/>
        </w:rPr>
        <w:t xml:space="preserve">, 1977), </w:t>
      </w:r>
      <w:proofErr w:type="spellStart"/>
      <w:r w:rsidRPr="005E0373">
        <w:rPr>
          <w:rFonts w:ascii="Times New Roman" w:hAnsi="Times New Roman"/>
          <w:sz w:val="24"/>
          <w:szCs w:val="24"/>
        </w:rPr>
        <w:t>epitympanic</w:t>
      </w:r>
      <w:proofErr w:type="spellEnd"/>
      <w:r w:rsidRPr="005E0373">
        <w:rPr>
          <w:rFonts w:ascii="Times New Roman" w:hAnsi="Times New Roman"/>
          <w:sz w:val="24"/>
          <w:szCs w:val="24"/>
        </w:rPr>
        <w:t xml:space="preserve"> spurs and proliferation of fibrous tissue adjacent to the </w:t>
      </w:r>
      <w:proofErr w:type="spellStart"/>
      <w:r w:rsidRPr="005E0373">
        <w:rPr>
          <w:rFonts w:ascii="Times New Roman" w:hAnsi="Times New Roman"/>
          <w:sz w:val="24"/>
          <w:szCs w:val="24"/>
        </w:rPr>
        <w:t>ossicles</w:t>
      </w:r>
      <w:proofErr w:type="spellEnd"/>
      <w:r w:rsidRPr="005E0373">
        <w:rPr>
          <w:rFonts w:ascii="Times New Roman" w:hAnsi="Times New Roman"/>
          <w:sz w:val="24"/>
          <w:szCs w:val="24"/>
        </w:rPr>
        <w:t xml:space="preserve"> (Davies, 1968). The process of bone demineralisation, which causes </w:t>
      </w:r>
      <w:proofErr w:type="spellStart"/>
      <w:r w:rsidRPr="005E0373">
        <w:rPr>
          <w:rFonts w:ascii="Times New Roman" w:hAnsi="Times New Roman"/>
          <w:sz w:val="24"/>
          <w:szCs w:val="24"/>
        </w:rPr>
        <w:t>osteopenia</w:t>
      </w:r>
      <w:proofErr w:type="spellEnd"/>
      <w:r w:rsidRPr="005E0373">
        <w:rPr>
          <w:rFonts w:ascii="Times New Roman" w:hAnsi="Times New Roman"/>
          <w:sz w:val="24"/>
          <w:szCs w:val="24"/>
        </w:rPr>
        <w:t xml:space="preserve"> and osteoporosis, can also affect the temporal bone in which the cochlea is housed (</w:t>
      </w:r>
      <w:proofErr w:type="spellStart"/>
      <w:r w:rsidRPr="005E0373">
        <w:rPr>
          <w:rFonts w:ascii="Times New Roman" w:hAnsi="Times New Roman"/>
          <w:sz w:val="24"/>
          <w:szCs w:val="24"/>
        </w:rPr>
        <w:t>Monsel</w:t>
      </w:r>
      <w:proofErr w:type="spellEnd"/>
      <w:r w:rsidRPr="005E0373">
        <w:rPr>
          <w:rFonts w:ascii="Times New Roman" w:hAnsi="Times New Roman"/>
          <w:sz w:val="24"/>
          <w:szCs w:val="24"/>
        </w:rPr>
        <w:t xml:space="preserve">, 2004). It can result in mechanisms which can </w:t>
      </w:r>
      <w:r w:rsidRPr="005E0373">
        <w:rPr>
          <w:rFonts w:ascii="Times New Roman" w:hAnsi="Times New Roman"/>
          <w:sz w:val="24"/>
          <w:szCs w:val="24"/>
        </w:rPr>
        <w:lastRenderedPageBreak/>
        <w:t>cause sensorineural hearing loss. It can also result in compression of the auditory nerve (</w:t>
      </w:r>
      <w:proofErr w:type="spellStart"/>
      <w:r w:rsidRPr="005E0373">
        <w:rPr>
          <w:rFonts w:ascii="Times New Roman" w:hAnsi="Times New Roman"/>
          <w:sz w:val="24"/>
          <w:szCs w:val="24"/>
        </w:rPr>
        <w:t>Applebaum</w:t>
      </w:r>
      <w:proofErr w:type="spellEnd"/>
      <w:r w:rsidRPr="005E0373">
        <w:rPr>
          <w:rFonts w:ascii="Times New Roman" w:hAnsi="Times New Roman"/>
          <w:sz w:val="24"/>
          <w:szCs w:val="24"/>
        </w:rPr>
        <w:t xml:space="preserve"> &amp; </w:t>
      </w:r>
      <w:proofErr w:type="spellStart"/>
      <w:r w:rsidRPr="005E0373">
        <w:rPr>
          <w:rFonts w:ascii="Times New Roman" w:hAnsi="Times New Roman"/>
          <w:sz w:val="24"/>
          <w:szCs w:val="24"/>
        </w:rPr>
        <w:t>Clemis</w:t>
      </w:r>
      <w:proofErr w:type="spellEnd"/>
      <w:r w:rsidRPr="005E0373">
        <w:rPr>
          <w:rFonts w:ascii="Times New Roman" w:hAnsi="Times New Roman"/>
          <w:sz w:val="24"/>
          <w:szCs w:val="24"/>
        </w:rPr>
        <w:t>, 1977), obstruction of vascular shunts (</w:t>
      </w:r>
      <w:proofErr w:type="spellStart"/>
      <w:r w:rsidRPr="005E0373">
        <w:rPr>
          <w:rFonts w:ascii="Times New Roman" w:hAnsi="Times New Roman"/>
          <w:sz w:val="24"/>
          <w:szCs w:val="24"/>
        </w:rPr>
        <w:t>Nager</w:t>
      </w:r>
      <w:proofErr w:type="spellEnd"/>
      <w:r w:rsidRPr="005E0373">
        <w:rPr>
          <w:rFonts w:ascii="Times New Roman" w:hAnsi="Times New Roman"/>
          <w:sz w:val="24"/>
          <w:szCs w:val="24"/>
        </w:rPr>
        <w:t>, 1975) and narrowing of the auditory canal (</w:t>
      </w:r>
      <w:proofErr w:type="spellStart"/>
      <w:r w:rsidRPr="005E0373">
        <w:rPr>
          <w:rFonts w:ascii="Times New Roman" w:hAnsi="Times New Roman"/>
          <w:sz w:val="24"/>
          <w:szCs w:val="24"/>
        </w:rPr>
        <w:t>Applebaum</w:t>
      </w:r>
      <w:proofErr w:type="spellEnd"/>
      <w:r w:rsidRPr="005E0373">
        <w:rPr>
          <w:rFonts w:ascii="Times New Roman" w:hAnsi="Times New Roman"/>
          <w:sz w:val="24"/>
          <w:szCs w:val="24"/>
        </w:rPr>
        <w:t xml:space="preserve"> &amp; </w:t>
      </w:r>
      <w:proofErr w:type="spellStart"/>
      <w:r w:rsidRPr="005E0373">
        <w:rPr>
          <w:rFonts w:ascii="Times New Roman" w:hAnsi="Times New Roman"/>
          <w:sz w:val="24"/>
          <w:szCs w:val="24"/>
        </w:rPr>
        <w:t>Clemis</w:t>
      </w:r>
      <w:proofErr w:type="spellEnd"/>
      <w:r w:rsidRPr="005E0373">
        <w:rPr>
          <w:rFonts w:ascii="Times New Roman" w:hAnsi="Times New Roman"/>
          <w:sz w:val="24"/>
          <w:szCs w:val="24"/>
        </w:rPr>
        <w:t>, 1977). It has been seen that as the bone fragility increases, the hearing loss (degree &amp; prevalence) increases (</w:t>
      </w:r>
      <w:proofErr w:type="spellStart"/>
      <w:r w:rsidRPr="005E0373">
        <w:rPr>
          <w:rFonts w:ascii="Times New Roman" w:hAnsi="Times New Roman"/>
          <w:sz w:val="24"/>
          <w:szCs w:val="24"/>
        </w:rPr>
        <w:t>Monsel</w:t>
      </w:r>
      <w:proofErr w:type="spellEnd"/>
      <w:r w:rsidRPr="005E0373">
        <w:rPr>
          <w:rFonts w:ascii="Times New Roman" w:hAnsi="Times New Roman"/>
          <w:sz w:val="24"/>
          <w:szCs w:val="24"/>
        </w:rPr>
        <w:t xml:space="preserve">, 2004). In cases with </w:t>
      </w:r>
      <w:proofErr w:type="spellStart"/>
      <w:r w:rsidRPr="005E0373">
        <w:rPr>
          <w:rFonts w:ascii="Times New Roman" w:hAnsi="Times New Roman"/>
          <w:sz w:val="24"/>
          <w:szCs w:val="24"/>
        </w:rPr>
        <w:t>osteopenia</w:t>
      </w:r>
      <w:proofErr w:type="spellEnd"/>
      <w:r w:rsidRPr="005E0373">
        <w:rPr>
          <w:rFonts w:ascii="Times New Roman" w:hAnsi="Times New Roman"/>
          <w:sz w:val="24"/>
          <w:szCs w:val="24"/>
        </w:rPr>
        <w:t xml:space="preserve"> and osteoporosis, changes in bone density, mass, and dampening of the finely tuned motion mechanics of the middle ear can cause conductive hearing loss whereas </w:t>
      </w:r>
      <w:proofErr w:type="gramStart"/>
      <w:r w:rsidRPr="005E0373">
        <w:rPr>
          <w:rFonts w:ascii="Times New Roman" w:hAnsi="Times New Roman"/>
          <w:sz w:val="24"/>
          <w:szCs w:val="24"/>
        </w:rPr>
        <w:t xml:space="preserve">changes occurring in the </w:t>
      </w:r>
      <w:proofErr w:type="spellStart"/>
      <w:r w:rsidRPr="005E0373">
        <w:rPr>
          <w:rFonts w:ascii="Times New Roman" w:hAnsi="Times New Roman"/>
          <w:sz w:val="24"/>
          <w:szCs w:val="24"/>
        </w:rPr>
        <w:t>otic</w:t>
      </w:r>
      <w:proofErr w:type="spellEnd"/>
      <w:r w:rsidRPr="005E0373">
        <w:rPr>
          <w:rFonts w:ascii="Times New Roman" w:hAnsi="Times New Roman"/>
          <w:sz w:val="24"/>
          <w:szCs w:val="24"/>
        </w:rPr>
        <w:t xml:space="preserve"> capsule and the temporal bone affects</w:t>
      </w:r>
      <w:proofErr w:type="gramEnd"/>
      <w:r w:rsidRPr="005E0373">
        <w:rPr>
          <w:rFonts w:ascii="Times New Roman" w:hAnsi="Times New Roman"/>
          <w:sz w:val="24"/>
          <w:szCs w:val="24"/>
        </w:rPr>
        <w:t xml:space="preserve"> the inner ear causing sensorineural hearing loss (</w:t>
      </w:r>
      <w:proofErr w:type="spellStart"/>
      <w:r w:rsidRPr="005E0373">
        <w:rPr>
          <w:rFonts w:ascii="Times New Roman" w:hAnsi="Times New Roman"/>
          <w:sz w:val="24"/>
          <w:szCs w:val="24"/>
        </w:rPr>
        <w:t>Nager</w:t>
      </w:r>
      <w:proofErr w:type="spellEnd"/>
      <w:r w:rsidRPr="005E0373">
        <w:rPr>
          <w:rFonts w:ascii="Times New Roman" w:hAnsi="Times New Roman"/>
          <w:sz w:val="24"/>
          <w:szCs w:val="24"/>
        </w:rPr>
        <w:t>, 1975). Furthermore, calcium ions are important for the efficient release of the neurotransmitters during the transduction process in the cochlea (</w:t>
      </w:r>
      <w:proofErr w:type="spellStart"/>
      <w:r w:rsidRPr="005E0373">
        <w:rPr>
          <w:rFonts w:ascii="Times New Roman" w:hAnsi="Times New Roman"/>
          <w:sz w:val="24"/>
          <w:szCs w:val="24"/>
        </w:rPr>
        <w:t>Khetarpal</w:t>
      </w:r>
      <w:proofErr w:type="spellEnd"/>
      <w:r w:rsidRPr="005E0373">
        <w:rPr>
          <w:rFonts w:ascii="Times New Roman" w:hAnsi="Times New Roman"/>
          <w:sz w:val="24"/>
          <w:szCs w:val="24"/>
        </w:rPr>
        <w:t xml:space="preserve"> &amp; </w:t>
      </w:r>
      <w:proofErr w:type="spellStart"/>
      <w:r w:rsidRPr="005E0373">
        <w:rPr>
          <w:rFonts w:ascii="Times New Roman" w:hAnsi="Times New Roman"/>
          <w:sz w:val="24"/>
          <w:szCs w:val="24"/>
        </w:rPr>
        <w:t>Schuknecht</w:t>
      </w:r>
      <w:proofErr w:type="spellEnd"/>
      <w:r w:rsidRPr="005E0373">
        <w:rPr>
          <w:rFonts w:ascii="Times New Roman" w:hAnsi="Times New Roman"/>
          <w:sz w:val="24"/>
          <w:szCs w:val="24"/>
        </w:rPr>
        <w:t xml:space="preserve">, 1990; </w:t>
      </w:r>
      <w:proofErr w:type="spellStart"/>
      <w:r w:rsidRPr="005E0373">
        <w:rPr>
          <w:rFonts w:ascii="Times New Roman" w:hAnsi="Times New Roman"/>
          <w:sz w:val="24"/>
          <w:szCs w:val="24"/>
        </w:rPr>
        <w:t>Vergara</w:t>
      </w:r>
      <w:proofErr w:type="spellEnd"/>
      <w:r w:rsidRPr="005E0373">
        <w:rPr>
          <w:rFonts w:ascii="Times New Roman" w:hAnsi="Times New Roman"/>
          <w:sz w:val="24"/>
          <w:szCs w:val="24"/>
        </w:rPr>
        <w:t xml:space="preserve">, </w:t>
      </w:r>
      <w:proofErr w:type="spellStart"/>
      <w:r w:rsidRPr="005E0373">
        <w:rPr>
          <w:rFonts w:ascii="Times New Roman" w:hAnsi="Times New Roman"/>
          <w:sz w:val="24"/>
          <w:szCs w:val="24"/>
        </w:rPr>
        <w:t>Latorre</w:t>
      </w:r>
      <w:proofErr w:type="spellEnd"/>
      <w:r w:rsidRPr="005E0373">
        <w:rPr>
          <w:rFonts w:ascii="Times New Roman" w:hAnsi="Times New Roman"/>
          <w:sz w:val="24"/>
          <w:szCs w:val="24"/>
        </w:rPr>
        <w:t xml:space="preserve">, </w:t>
      </w:r>
      <w:proofErr w:type="spellStart"/>
      <w:r w:rsidRPr="005E0373">
        <w:rPr>
          <w:rFonts w:ascii="Times New Roman" w:hAnsi="Times New Roman"/>
          <w:sz w:val="24"/>
          <w:szCs w:val="24"/>
        </w:rPr>
        <w:t>Marrion</w:t>
      </w:r>
      <w:proofErr w:type="spellEnd"/>
      <w:r w:rsidRPr="005E0373">
        <w:rPr>
          <w:rFonts w:ascii="Times New Roman" w:hAnsi="Times New Roman"/>
          <w:sz w:val="24"/>
          <w:szCs w:val="24"/>
        </w:rPr>
        <w:t xml:space="preserve"> &amp; Adelman, 1998, </w:t>
      </w:r>
      <w:proofErr w:type="spellStart"/>
      <w:r w:rsidRPr="005E0373">
        <w:rPr>
          <w:rFonts w:ascii="Times New Roman" w:hAnsi="Times New Roman"/>
          <w:sz w:val="24"/>
          <w:szCs w:val="24"/>
        </w:rPr>
        <w:t>Hacohen</w:t>
      </w:r>
      <w:proofErr w:type="spellEnd"/>
      <w:r w:rsidRPr="005E0373">
        <w:rPr>
          <w:rFonts w:ascii="Times New Roman" w:hAnsi="Times New Roman"/>
          <w:sz w:val="24"/>
          <w:szCs w:val="24"/>
        </w:rPr>
        <w:t>, Assad, Smith &amp; Corey, 1989). They (calcium ions) also play a vital role in the recycling of potassium ions, especially removal of K</w:t>
      </w:r>
      <w:r w:rsidRPr="005E0373">
        <w:rPr>
          <w:rFonts w:ascii="Times New Roman" w:hAnsi="Times New Roman"/>
          <w:sz w:val="24"/>
          <w:szCs w:val="24"/>
          <w:vertAlign w:val="superscript"/>
        </w:rPr>
        <w:t>+</w:t>
      </w:r>
      <w:r w:rsidRPr="005E0373">
        <w:rPr>
          <w:rFonts w:ascii="Times New Roman" w:hAnsi="Times New Roman"/>
          <w:sz w:val="24"/>
          <w:szCs w:val="24"/>
        </w:rPr>
        <w:t xml:space="preserve"> ions from the hair cells (Chan &amp; </w:t>
      </w:r>
      <w:proofErr w:type="spellStart"/>
      <w:r w:rsidRPr="005E0373">
        <w:rPr>
          <w:rFonts w:ascii="Times New Roman" w:hAnsi="Times New Roman"/>
          <w:sz w:val="24"/>
          <w:szCs w:val="24"/>
        </w:rPr>
        <w:t>Hudspeth</w:t>
      </w:r>
      <w:proofErr w:type="spellEnd"/>
      <w:r w:rsidRPr="005E0373">
        <w:rPr>
          <w:rFonts w:ascii="Times New Roman" w:hAnsi="Times New Roman"/>
          <w:sz w:val="24"/>
          <w:szCs w:val="24"/>
        </w:rPr>
        <w:t xml:space="preserve">, 2005; </w:t>
      </w:r>
      <w:proofErr w:type="spellStart"/>
      <w:r w:rsidRPr="005E0373">
        <w:rPr>
          <w:rFonts w:ascii="Times New Roman" w:hAnsi="Times New Roman"/>
          <w:sz w:val="24"/>
          <w:szCs w:val="24"/>
        </w:rPr>
        <w:t>Eatock</w:t>
      </w:r>
      <w:proofErr w:type="spellEnd"/>
      <w:r w:rsidRPr="005E0373">
        <w:rPr>
          <w:rFonts w:ascii="Times New Roman" w:hAnsi="Times New Roman"/>
          <w:sz w:val="24"/>
          <w:szCs w:val="24"/>
        </w:rPr>
        <w:t xml:space="preserve">, Corey &amp; </w:t>
      </w:r>
      <w:proofErr w:type="spellStart"/>
      <w:r w:rsidRPr="005E0373">
        <w:rPr>
          <w:rFonts w:ascii="Times New Roman" w:hAnsi="Times New Roman"/>
          <w:sz w:val="24"/>
          <w:szCs w:val="24"/>
        </w:rPr>
        <w:t>Hudspeth</w:t>
      </w:r>
      <w:proofErr w:type="spellEnd"/>
      <w:r w:rsidRPr="005E0373">
        <w:rPr>
          <w:rFonts w:ascii="Times New Roman" w:hAnsi="Times New Roman"/>
          <w:sz w:val="24"/>
          <w:szCs w:val="24"/>
        </w:rPr>
        <w:t xml:space="preserve">, 1987). A deficiency in calcium, which is seen in </w:t>
      </w:r>
      <w:proofErr w:type="spellStart"/>
      <w:r w:rsidRPr="005E0373">
        <w:rPr>
          <w:rFonts w:ascii="Times New Roman" w:hAnsi="Times New Roman"/>
          <w:sz w:val="24"/>
          <w:szCs w:val="24"/>
        </w:rPr>
        <w:t>osteopenia</w:t>
      </w:r>
      <w:proofErr w:type="spellEnd"/>
      <w:r w:rsidRPr="005E0373">
        <w:rPr>
          <w:rFonts w:ascii="Times New Roman" w:hAnsi="Times New Roman"/>
          <w:sz w:val="24"/>
          <w:szCs w:val="24"/>
        </w:rPr>
        <w:t xml:space="preserve"> and osteoporosis, could therefore hinder the recycling of K</w:t>
      </w:r>
      <w:r w:rsidRPr="005E0373">
        <w:rPr>
          <w:rFonts w:ascii="Times New Roman" w:hAnsi="Times New Roman"/>
          <w:sz w:val="24"/>
          <w:szCs w:val="24"/>
          <w:vertAlign w:val="superscript"/>
        </w:rPr>
        <w:t>+</w:t>
      </w:r>
      <w:r w:rsidRPr="005E0373">
        <w:rPr>
          <w:rFonts w:ascii="Times New Roman" w:hAnsi="Times New Roman"/>
          <w:sz w:val="24"/>
          <w:szCs w:val="24"/>
        </w:rPr>
        <w:t xml:space="preserve"> ions and cause dysfunction in the neurotransmitter release and thereby sensorineural hearing loss. However there are very few studies that have explored the audiological test findings in osteoporosis and </w:t>
      </w:r>
      <w:proofErr w:type="spellStart"/>
      <w:r w:rsidRPr="005E0373">
        <w:rPr>
          <w:rFonts w:ascii="Times New Roman" w:hAnsi="Times New Roman"/>
          <w:sz w:val="24"/>
          <w:szCs w:val="24"/>
        </w:rPr>
        <w:t>osteopenia</w:t>
      </w:r>
      <w:proofErr w:type="spellEnd"/>
      <w:r w:rsidRPr="005E0373">
        <w:rPr>
          <w:rFonts w:ascii="Times New Roman" w:hAnsi="Times New Roman"/>
          <w:sz w:val="24"/>
          <w:szCs w:val="24"/>
        </w:rPr>
        <w:t>, especially a complete audiological profile.</w:t>
      </w:r>
    </w:p>
    <w:p w:rsidR="005E0373" w:rsidRPr="005E0373" w:rsidRDefault="005E0373" w:rsidP="005E0373">
      <w:pPr>
        <w:spacing w:before="240" w:line="480" w:lineRule="auto"/>
        <w:ind w:firstLine="720"/>
        <w:jc w:val="both"/>
        <w:rPr>
          <w:rFonts w:ascii="Times New Roman" w:hAnsi="Times New Roman"/>
          <w:sz w:val="24"/>
          <w:szCs w:val="24"/>
        </w:rPr>
      </w:pPr>
      <w:r w:rsidRPr="005E0373">
        <w:rPr>
          <w:rFonts w:ascii="Times New Roman" w:hAnsi="Times New Roman"/>
          <w:sz w:val="24"/>
          <w:szCs w:val="24"/>
        </w:rPr>
        <w:t xml:space="preserve">In studies done by a group of researchers on 12 </w:t>
      </w:r>
      <w:proofErr w:type="spellStart"/>
      <w:r w:rsidRPr="005E0373">
        <w:rPr>
          <w:rFonts w:ascii="Times New Roman" w:hAnsi="Times New Roman"/>
          <w:sz w:val="24"/>
          <w:szCs w:val="24"/>
        </w:rPr>
        <w:t>osteopenic</w:t>
      </w:r>
      <w:proofErr w:type="spellEnd"/>
      <w:r w:rsidRPr="005E0373">
        <w:rPr>
          <w:rFonts w:ascii="Times New Roman" w:hAnsi="Times New Roman"/>
          <w:sz w:val="24"/>
          <w:szCs w:val="24"/>
        </w:rPr>
        <w:t xml:space="preserve">, 11 osteoporotic, and 12 healthy individuals, the results showed evidence for presence of audiological as well as vestibular deficits in individuals with </w:t>
      </w:r>
      <w:proofErr w:type="spellStart"/>
      <w:r w:rsidRPr="005E0373">
        <w:rPr>
          <w:rFonts w:ascii="Times New Roman" w:hAnsi="Times New Roman"/>
          <w:sz w:val="24"/>
          <w:szCs w:val="24"/>
        </w:rPr>
        <w:t>osteopenia</w:t>
      </w:r>
      <w:proofErr w:type="spellEnd"/>
      <w:r w:rsidRPr="005E0373">
        <w:rPr>
          <w:rFonts w:ascii="Times New Roman" w:hAnsi="Times New Roman"/>
          <w:sz w:val="24"/>
          <w:szCs w:val="24"/>
        </w:rPr>
        <w:t xml:space="preserve"> and osteoporosis, with more severely impaired results in the later (</w:t>
      </w:r>
      <w:proofErr w:type="spellStart"/>
      <w:r w:rsidRPr="005E0373">
        <w:rPr>
          <w:rFonts w:ascii="Times New Roman" w:hAnsi="Times New Roman"/>
          <w:sz w:val="24"/>
          <w:szCs w:val="24"/>
        </w:rPr>
        <w:t>Gargeshwari</w:t>
      </w:r>
      <w:proofErr w:type="spellEnd"/>
      <w:r w:rsidRPr="005E0373">
        <w:rPr>
          <w:rFonts w:ascii="Times New Roman" w:hAnsi="Times New Roman"/>
          <w:sz w:val="24"/>
          <w:szCs w:val="24"/>
        </w:rPr>
        <w:t xml:space="preserve">, </w:t>
      </w:r>
      <w:proofErr w:type="spellStart"/>
      <w:r w:rsidRPr="005E0373">
        <w:rPr>
          <w:rFonts w:ascii="Times New Roman" w:hAnsi="Times New Roman"/>
          <w:sz w:val="24"/>
          <w:szCs w:val="24"/>
        </w:rPr>
        <w:t>Jha</w:t>
      </w:r>
      <w:proofErr w:type="spellEnd"/>
      <w:r w:rsidRPr="005E0373">
        <w:rPr>
          <w:rFonts w:ascii="Times New Roman" w:hAnsi="Times New Roman"/>
          <w:sz w:val="24"/>
          <w:szCs w:val="24"/>
        </w:rPr>
        <w:t xml:space="preserve">, &amp; Singh, 2016; </w:t>
      </w:r>
      <w:proofErr w:type="spellStart"/>
      <w:r w:rsidRPr="005E0373">
        <w:rPr>
          <w:rFonts w:ascii="Times New Roman" w:hAnsi="Times New Roman"/>
          <w:sz w:val="24"/>
          <w:szCs w:val="24"/>
        </w:rPr>
        <w:t>Jha</w:t>
      </w:r>
      <w:proofErr w:type="spellEnd"/>
      <w:r w:rsidRPr="005E0373">
        <w:rPr>
          <w:rFonts w:ascii="Times New Roman" w:hAnsi="Times New Roman"/>
          <w:sz w:val="24"/>
          <w:szCs w:val="24"/>
        </w:rPr>
        <w:t xml:space="preserve">, </w:t>
      </w:r>
      <w:proofErr w:type="spellStart"/>
      <w:r w:rsidRPr="005E0373">
        <w:rPr>
          <w:rFonts w:ascii="Times New Roman" w:hAnsi="Times New Roman"/>
          <w:sz w:val="24"/>
          <w:szCs w:val="24"/>
        </w:rPr>
        <w:t>Gargeshwari</w:t>
      </w:r>
      <w:proofErr w:type="spellEnd"/>
      <w:r w:rsidRPr="005E0373">
        <w:rPr>
          <w:rFonts w:ascii="Times New Roman" w:hAnsi="Times New Roman"/>
          <w:sz w:val="24"/>
          <w:szCs w:val="24"/>
        </w:rPr>
        <w:t>, &amp; Singh, 2016). However, the generalization of these results to the population could be questionable due to a small sample size. Nonetheless, the results are encouraging enough to warrant the need for further study on larger sample sizes.</w:t>
      </w:r>
    </w:p>
    <w:p w:rsidR="005E0373" w:rsidRPr="005E0373" w:rsidRDefault="005E0373" w:rsidP="005E0373">
      <w:pPr>
        <w:spacing w:before="240" w:line="480" w:lineRule="auto"/>
        <w:jc w:val="both"/>
        <w:rPr>
          <w:rFonts w:ascii="Times New Roman" w:hAnsi="Times New Roman"/>
          <w:b/>
          <w:bCs/>
          <w:sz w:val="24"/>
          <w:szCs w:val="24"/>
        </w:rPr>
      </w:pPr>
      <w:r w:rsidRPr="005E0373">
        <w:rPr>
          <w:rFonts w:ascii="Times New Roman" w:hAnsi="Times New Roman"/>
          <w:b/>
          <w:bCs/>
          <w:sz w:val="24"/>
          <w:szCs w:val="24"/>
        </w:rPr>
        <w:lastRenderedPageBreak/>
        <w:t>Aim and objectives</w:t>
      </w:r>
    </w:p>
    <w:p w:rsidR="005E0373" w:rsidRPr="005E0373" w:rsidRDefault="005E0373" w:rsidP="005E0373">
      <w:pPr>
        <w:spacing w:before="240" w:line="480" w:lineRule="auto"/>
        <w:ind w:firstLine="720"/>
        <w:jc w:val="both"/>
        <w:rPr>
          <w:rFonts w:ascii="Times New Roman" w:hAnsi="Times New Roman"/>
          <w:sz w:val="24"/>
          <w:szCs w:val="24"/>
        </w:rPr>
      </w:pPr>
      <w:r w:rsidRPr="005E0373">
        <w:rPr>
          <w:rFonts w:ascii="Times New Roman" w:hAnsi="Times New Roman"/>
          <w:sz w:val="24"/>
          <w:szCs w:val="24"/>
        </w:rPr>
        <w:t xml:space="preserve">The present study aims to investigate the impact of </w:t>
      </w:r>
      <w:proofErr w:type="spellStart"/>
      <w:r w:rsidRPr="005E0373">
        <w:rPr>
          <w:rFonts w:ascii="Times New Roman" w:hAnsi="Times New Roman"/>
          <w:sz w:val="24"/>
          <w:szCs w:val="24"/>
        </w:rPr>
        <w:t>osteopenia</w:t>
      </w:r>
      <w:proofErr w:type="spellEnd"/>
      <w:r w:rsidRPr="005E0373">
        <w:rPr>
          <w:rFonts w:ascii="Times New Roman" w:hAnsi="Times New Roman"/>
          <w:sz w:val="24"/>
          <w:szCs w:val="24"/>
        </w:rPr>
        <w:t xml:space="preserve"> and osteoporosis on the outcomes of various behavioural and objective audiological and vestibular assessment tests. The specific objectives are as follows:</w:t>
      </w:r>
    </w:p>
    <w:p w:rsidR="005E0373" w:rsidRPr="005E0373" w:rsidRDefault="005E0373" w:rsidP="005E0373">
      <w:pPr>
        <w:pStyle w:val="ListParagraph"/>
        <w:numPr>
          <w:ilvl w:val="0"/>
          <w:numId w:val="45"/>
        </w:numPr>
        <w:spacing w:before="240" w:after="0" w:line="480" w:lineRule="auto"/>
        <w:jc w:val="both"/>
        <w:rPr>
          <w:rFonts w:ascii="Times New Roman" w:hAnsi="Times New Roman"/>
          <w:sz w:val="24"/>
          <w:szCs w:val="24"/>
        </w:rPr>
      </w:pPr>
      <w:r w:rsidRPr="005E0373">
        <w:rPr>
          <w:rFonts w:ascii="Times New Roman" w:hAnsi="Times New Roman"/>
          <w:sz w:val="24"/>
          <w:szCs w:val="24"/>
        </w:rPr>
        <w:t xml:space="preserve">To investigate the effect of </w:t>
      </w:r>
      <w:proofErr w:type="spellStart"/>
      <w:r w:rsidRPr="005E0373">
        <w:rPr>
          <w:rFonts w:ascii="Times New Roman" w:hAnsi="Times New Roman"/>
          <w:sz w:val="24"/>
          <w:szCs w:val="24"/>
        </w:rPr>
        <w:t>osteopenia</w:t>
      </w:r>
      <w:proofErr w:type="spellEnd"/>
      <w:r w:rsidRPr="005E0373">
        <w:rPr>
          <w:rFonts w:ascii="Times New Roman" w:hAnsi="Times New Roman"/>
          <w:sz w:val="24"/>
          <w:szCs w:val="24"/>
        </w:rPr>
        <w:t xml:space="preserve"> and osteoporosis on the outcomes of behavioural audiological assessment (pure-tone and speech audiometry).</w:t>
      </w:r>
    </w:p>
    <w:p w:rsidR="005E0373" w:rsidRPr="005E0373" w:rsidRDefault="005E0373" w:rsidP="005E0373">
      <w:pPr>
        <w:pStyle w:val="ListParagraph"/>
        <w:numPr>
          <w:ilvl w:val="0"/>
          <w:numId w:val="45"/>
        </w:numPr>
        <w:spacing w:before="240" w:after="0" w:line="480" w:lineRule="auto"/>
        <w:jc w:val="both"/>
        <w:rPr>
          <w:rFonts w:ascii="Times New Roman" w:hAnsi="Times New Roman"/>
          <w:sz w:val="24"/>
          <w:szCs w:val="24"/>
        </w:rPr>
      </w:pPr>
      <w:r w:rsidRPr="005E0373">
        <w:rPr>
          <w:rFonts w:ascii="Times New Roman" w:hAnsi="Times New Roman"/>
          <w:sz w:val="24"/>
          <w:szCs w:val="24"/>
        </w:rPr>
        <w:t xml:space="preserve">To investigate the effect of </w:t>
      </w:r>
      <w:proofErr w:type="spellStart"/>
      <w:r w:rsidRPr="005E0373">
        <w:rPr>
          <w:rFonts w:ascii="Times New Roman" w:hAnsi="Times New Roman"/>
          <w:sz w:val="24"/>
          <w:szCs w:val="24"/>
        </w:rPr>
        <w:t>osteopenia</w:t>
      </w:r>
      <w:proofErr w:type="spellEnd"/>
      <w:r w:rsidRPr="005E0373">
        <w:rPr>
          <w:rFonts w:ascii="Times New Roman" w:hAnsi="Times New Roman"/>
          <w:sz w:val="24"/>
          <w:szCs w:val="24"/>
        </w:rPr>
        <w:t xml:space="preserve"> and osteoporosis on the outcomes of physiological tests (</w:t>
      </w:r>
      <w:proofErr w:type="spellStart"/>
      <w:r w:rsidRPr="005E0373">
        <w:rPr>
          <w:rFonts w:ascii="Times New Roman" w:hAnsi="Times New Roman"/>
          <w:sz w:val="24"/>
          <w:szCs w:val="24"/>
        </w:rPr>
        <w:t>immittance</w:t>
      </w:r>
      <w:proofErr w:type="spellEnd"/>
      <w:r w:rsidRPr="005E0373">
        <w:rPr>
          <w:rFonts w:ascii="Times New Roman" w:hAnsi="Times New Roman"/>
          <w:sz w:val="24"/>
          <w:szCs w:val="24"/>
        </w:rPr>
        <w:t xml:space="preserve"> evaluations, </w:t>
      </w:r>
      <w:proofErr w:type="spellStart"/>
      <w:r w:rsidRPr="005E0373">
        <w:rPr>
          <w:rFonts w:ascii="Times New Roman" w:hAnsi="Times New Roman"/>
          <w:sz w:val="24"/>
          <w:szCs w:val="24"/>
        </w:rPr>
        <w:t>oto</w:t>
      </w:r>
      <w:proofErr w:type="spellEnd"/>
      <w:r w:rsidRPr="005E0373">
        <w:rPr>
          <w:rFonts w:ascii="Times New Roman" w:hAnsi="Times New Roman"/>
          <w:sz w:val="24"/>
          <w:szCs w:val="24"/>
        </w:rPr>
        <w:t>-acoustic emissions and auditory brainstem responses).</w:t>
      </w:r>
    </w:p>
    <w:p w:rsidR="005E0373" w:rsidRPr="005E0373" w:rsidRDefault="005E0373" w:rsidP="005E0373">
      <w:pPr>
        <w:pStyle w:val="ListParagraph"/>
        <w:numPr>
          <w:ilvl w:val="0"/>
          <w:numId w:val="45"/>
        </w:numPr>
        <w:spacing w:before="240" w:after="0" w:line="480" w:lineRule="auto"/>
        <w:jc w:val="both"/>
        <w:rPr>
          <w:rFonts w:ascii="Times New Roman" w:hAnsi="Times New Roman"/>
          <w:sz w:val="24"/>
          <w:szCs w:val="24"/>
        </w:rPr>
      </w:pPr>
      <w:r w:rsidRPr="005E0373">
        <w:rPr>
          <w:rFonts w:ascii="Times New Roman" w:hAnsi="Times New Roman"/>
          <w:sz w:val="24"/>
          <w:szCs w:val="24"/>
        </w:rPr>
        <w:t xml:space="preserve">To examine the impact of </w:t>
      </w:r>
      <w:proofErr w:type="spellStart"/>
      <w:r w:rsidRPr="005E0373">
        <w:rPr>
          <w:rFonts w:ascii="Times New Roman" w:hAnsi="Times New Roman"/>
          <w:sz w:val="24"/>
          <w:szCs w:val="24"/>
        </w:rPr>
        <w:t>osteopenia</w:t>
      </w:r>
      <w:proofErr w:type="spellEnd"/>
      <w:r w:rsidRPr="005E0373">
        <w:rPr>
          <w:rFonts w:ascii="Times New Roman" w:hAnsi="Times New Roman"/>
          <w:sz w:val="24"/>
          <w:szCs w:val="24"/>
        </w:rPr>
        <w:t xml:space="preserve"> and osteoporosis on behavioural balance assessment (Fukuda stepping test, sharpened Romberg and subjective visual vertical test).</w:t>
      </w:r>
    </w:p>
    <w:p w:rsidR="005E0373" w:rsidRPr="005E0373" w:rsidRDefault="005E0373" w:rsidP="005E0373">
      <w:pPr>
        <w:pStyle w:val="ListParagraph"/>
        <w:numPr>
          <w:ilvl w:val="0"/>
          <w:numId w:val="45"/>
        </w:numPr>
        <w:spacing w:before="240" w:after="0" w:line="480" w:lineRule="auto"/>
        <w:jc w:val="both"/>
        <w:rPr>
          <w:rFonts w:ascii="Times New Roman" w:hAnsi="Times New Roman"/>
          <w:sz w:val="24"/>
          <w:szCs w:val="24"/>
        </w:rPr>
      </w:pPr>
      <w:r w:rsidRPr="005E0373">
        <w:rPr>
          <w:rFonts w:ascii="Times New Roman" w:hAnsi="Times New Roman"/>
          <w:sz w:val="24"/>
          <w:szCs w:val="24"/>
        </w:rPr>
        <w:t xml:space="preserve">To study the effect of </w:t>
      </w:r>
      <w:proofErr w:type="spellStart"/>
      <w:r w:rsidRPr="005E0373">
        <w:rPr>
          <w:rFonts w:ascii="Times New Roman" w:hAnsi="Times New Roman"/>
          <w:sz w:val="24"/>
          <w:szCs w:val="24"/>
        </w:rPr>
        <w:t>osteopenia</w:t>
      </w:r>
      <w:proofErr w:type="spellEnd"/>
      <w:r w:rsidRPr="005E0373">
        <w:rPr>
          <w:rFonts w:ascii="Times New Roman" w:hAnsi="Times New Roman"/>
          <w:sz w:val="24"/>
          <w:szCs w:val="24"/>
        </w:rPr>
        <w:t xml:space="preserve"> and osteoporosis on physiological vestibular evaluation (cervical VEMP, ocular VEMP and video head impulse test).</w:t>
      </w:r>
    </w:p>
    <w:p w:rsidR="005E0373" w:rsidRPr="005E0373" w:rsidRDefault="005E0373" w:rsidP="005E0373">
      <w:pPr>
        <w:spacing w:before="240" w:line="480" w:lineRule="auto"/>
        <w:jc w:val="center"/>
        <w:rPr>
          <w:rFonts w:ascii="Times New Roman" w:hAnsi="Times New Roman"/>
          <w:sz w:val="24"/>
          <w:szCs w:val="24"/>
        </w:rPr>
      </w:pPr>
      <w:r w:rsidRPr="005E0373">
        <w:rPr>
          <w:rFonts w:ascii="Times New Roman" w:hAnsi="Times New Roman"/>
          <w:b/>
          <w:sz w:val="24"/>
          <w:szCs w:val="24"/>
        </w:rPr>
        <w:t>Method</w:t>
      </w:r>
    </w:p>
    <w:p w:rsidR="005E0373" w:rsidRPr="005E0373" w:rsidRDefault="005E0373" w:rsidP="005E0373">
      <w:pPr>
        <w:spacing w:line="480" w:lineRule="auto"/>
        <w:jc w:val="both"/>
        <w:rPr>
          <w:rFonts w:ascii="Times New Roman" w:hAnsi="Times New Roman"/>
          <w:b/>
          <w:sz w:val="24"/>
          <w:szCs w:val="24"/>
        </w:rPr>
      </w:pPr>
      <w:r w:rsidRPr="005E0373">
        <w:rPr>
          <w:rFonts w:ascii="Times New Roman" w:hAnsi="Times New Roman"/>
          <w:b/>
          <w:sz w:val="24"/>
          <w:szCs w:val="24"/>
        </w:rPr>
        <w:t>Participants</w:t>
      </w:r>
    </w:p>
    <w:p w:rsidR="005E0373" w:rsidRPr="005E0373" w:rsidRDefault="005E0373" w:rsidP="005E0373">
      <w:pPr>
        <w:spacing w:after="240" w:line="480" w:lineRule="auto"/>
        <w:jc w:val="both"/>
        <w:rPr>
          <w:rFonts w:ascii="Times New Roman" w:hAnsi="Times New Roman"/>
          <w:sz w:val="24"/>
          <w:szCs w:val="24"/>
        </w:rPr>
      </w:pPr>
      <w:r w:rsidRPr="005E0373">
        <w:rPr>
          <w:rFonts w:ascii="Times New Roman" w:hAnsi="Times New Roman"/>
          <w:sz w:val="24"/>
          <w:szCs w:val="24"/>
        </w:rPr>
        <w:tab/>
        <w:t xml:space="preserve">Individuals who have undergone bone mineral density (BMD) testing under the supervision of a medical professional will be included in the study. According to the WHO (2007) recommendation the participants will be classified as having </w:t>
      </w:r>
      <w:proofErr w:type="spellStart"/>
      <w:r w:rsidRPr="005E0373">
        <w:rPr>
          <w:rFonts w:ascii="Times New Roman" w:hAnsi="Times New Roman"/>
          <w:sz w:val="24"/>
          <w:szCs w:val="24"/>
        </w:rPr>
        <w:t>osteopenia</w:t>
      </w:r>
      <w:proofErr w:type="spellEnd"/>
      <w:r w:rsidRPr="005E0373">
        <w:rPr>
          <w:rFonts w:ascii="Times New Roman" w:hAnsi="Times New Roman"/>
          <w:sz w:val="24"/>
          <w:szCs w:val="24"/>
        </w:rPr>
        <w:t xml:space="preserve"> if their T-score (outcome of bone mineral density test) is between -1.1 to -2.5 and osteoporosis if their T-score is ≥-2.6 (in the negativity). Those having T-scores better than -1.1 (towards positivity) will be considered to have normal bone mineral density. Thirty participants will be </w:t>
      </w:r>
      <w:r w:rsidRPr="005E0373">
        <w:rPr>
          <w:rFonts w:ascii="Times New Roman" w:hAnsi="Times New Roman"/>
          <w:sz w:val="24"/>
          <w:szCs w:val="24"/>
        </w:rPr>
        <w:lastRenderedPageBreak/>
        <w:t xml:space="preserve">included each of the three groups (normal, </w:t>
      </w:r>
      <w:proofErr w:type="spellStart"/>
      <w:r w:rsidRPr="005E0373">
        <w:rPr>
          <w:rFonts w:ascii="Times New Roman" w:hAnsi="Times New Roman"/>
          <w:sz w:val="24"/>
          <w:szCs w:val="24"/>
        </w:rPr>
        <w:t>osteopenia</w:t>
      </w:r>
      <w:proofErr w:type="spellEnd"/>
      <w:r w:rsidRPr="005E0373">
        <w:rPr>
          <w:rFonts w:ascii="Times New Roman" w:hAnsi="Times New Roman"/>
          <w:sz w:val="24"/>
          <w:szCs w:val="24"/>
        </w:rPr>
        <w:t xml:space="preserve"> and osteoporosis), making a total of 90 participants.</w:t>
      </w:r>
    </w:p>
    <w:p w:rsidR="005E0373" w:rsidRPr="005E0373" w:rsidRDefault="005E0373" w:rsidP="005E0373">
      <w:pPr>
        <w:spacing w:line="480" w:lineRule="auto"/>
        <w:jc w:val="both"/>
        <w:rPr>
          <w:rFonts w:ascii="Times New Roman" w:hAnsi="Times New Roman"/>
          <w:b/>
          <w:sz w:val="24"/>
          <w:szCs w:val="24"/>
        </w:rPr>
      </w:pPr>
      <w:r w:rsidRPr="005E0373">
        <w:rPr>
          <w:rFonts w:ascii="Times New Roman" w:hAnsi="Times New Roman"/>
          <w:b/>
          <w:sz w:val="24"/>
          <w:szCs w:val="24"/>
        </w:rPr>
        <w:t>Instrumentation and Environment</w:t>
      </w:r>
    </w:p>
    <w:p w:rsidR="005E0373" w:rsidRPr="005E0373" w:rsidRDefault="005E0373" w:rsidP="005E0373">
      <w:pPr>
        <w:pStyle w:val="svarticle"/>
        <w:shd w:val="clear" w:color="auto" w:fill="FFFFFF"/>
        <w:spacing w:before="0" w:beforeAutospacing="0" w:after="0" w:afterAutospacing="0" w:line="480" w:lineRule="auto"/>
        <w:jc w:val="both"/>
        <w:textAlignment w:val="baseline"/>
      </w:pPr>
      <w:r w:rsidRPr="005E0373">
        <w:tab/>
        <w:t xml:space="preserve">A calibrated two channel clinical audiometer </w:t>
      </w:r>
      <w:proofErr w:type="spellStart"/>
      <w:r w:rsidRPr="005E0373">
        <w:t>Inventis</w:t>
      </w:r>
      <w:proofErr w:type="spellEnd"/>
      <w:r w:rsidRPr="005E0373">
        <w:t xml:space="preserve"> Piano with TDH-39 headphones housed in MX-41/AR ear cushions will be used for finding air-conduction and doing speech audiometry. Radio ear B-71 bone vibrator along with the same audiometer will be used for measuring bone-conduction thresholds. A calibrated middle ear analyzer </w:t>
      </w:r>
      <w:proofErr w:type="spellStart"/>
      <w:r w:rsidRPr="005E0373">
        <w:t>Grason-Stadler</w:t>
      </w:r>
      <w:proofErr w:type="spellEnd"/>
      <w:r w:rsidRPr="005E0373">
        <w:t xml:space="preserve"> Incorporated (GSI) </w:t>
      </w:r>
      <w:proofErr w:type="spellStart"/>
      <w:r w:rsidRPr="005E0373">
        <w:t>Tympstar</w:t>
      </w:r>
      <w:proofErr w:type="spellEnd"/>
      <w:r w:rsidRPr="005E0373">
        <w:t xml:space="preserve"> will be used for obtaining tympanogram type, static compliance, ear canal volume, acoustic reflex threshold and middle ear resonance frequency. The </w:t>
      </w:r>
      <w:proofErr w:type="spellStart"/>
      <w:r w:rsidRPr="005E0373">
        <w:t>Otodynamics</w:t>
      </w:r>
      <w:proofErr w:type="spellEnd"/>
      <w:r w:rsidRPr="005E0373">
        <w:t xml:space="preserve"> ILO V6 will be used for recording transient and distortion product OAEs. Biologic navigator pro with SINSER insert earphones will be used to for auditory brainstem response (ABR) and cervical and ocular vestibular evoked </w:t>
      </w:r>
      <w:proofErr w:type="spellStart"/>
      <w:r w:rsidRPr="005E0373">
        <w:t>myogenic</w:t>
      </w:r>
      <w:proofErr w:type="spellEnd"/>
      <w:r w:rsidRPr="005E0373">
        <w:t xml:space="preserve"> potentials (</w:t>
      </w:r>
      <w:proofErr w:type="spellStart"/>
      <w:r w:rsidRPr="005E0373">
        <w:t>cVEMP</w:t>
      </w:r>
      <w:proofErr w:type="spellEnd"/>
      <w:r w:rsidRPr="005E0373">
        <w:t xml:space="preserve"> &amp; </w:t>
      </w:r>
      <w:proofErr w:type="spellStart"/>
      <w:r w:rsidRPr="005E0373">
        <w:t>oVEMP</w:t>
      </w:r>
      <w:proofErr w:type="spellEnd"/>
      <w:r w:rsidRPr="005E0373">
        <w:t xml:space="preserve">). An ICS Impulse video head impulse test system with monocular camera will be used for evaluating the three sets of semicircular canals. All the tests will be carried out in acoustically treated air-conditioned rooms with permissible noise level as per the guidelines recommended by the American National Standards Institute (ANSI, 1999). </w:t>
      </w:r>
    </w:p>
    <w:p w:rsidR="005E0373" w:rsidRPr="005E0373" w:rsidRDefault="005E0373" w:rsidP="005E0373">
      <w:pPr>
        <w:pStyle w:val="svarticle"/>
        <w:shd w:val="clear" w:color="auto" w:fill="FFFFFF"/>
        <w:spacing w:before="240" w:beforeAutospacing="0" w:after="240" w:afterAutospacing="0" w:line="480" w:lineRule="auto"/>
        <w:jc w:val="both"/>
        <w:textAlignment w:val="baseline"/>
        <w:rPr>
          <w:b/>
        </w:rPr>
      </w:pPr>
      <w:r w:rsidRPr="005E0373">
        <w:rPr>
          <w:b/>
        </w:rPr>
        <w:t>Procedure</w:t>
      </w:r>
    </w:p>
    <w:p w:rsidR="005E0373" w:rsidRPr="005E0373" w:rsidRDefault="005E0373" w:rsidP="005E0373">
      <w:pPr>
        <w:pStyle w:val="svarticle"/>
        <w:shd w:val="clear" w:color="auto" w:fill="FFFFFF"/>
        <w:spacing w:before="240" w:beforeAutospacing="0" w:after="240" w:afterAutospacing="0" w:line="480" w:lineRule="auto"/>
        <w:ind w:firstLine="720"/>
        <w:jc w:val="both"/>
        <w:textAlignment w:val="baseline"/>
      </w:pPr>
      <w:r w:rsidRPr="005E0373">
        <w:t>A detailed structured case history will be obtained from each participant. This will involve questions pertaining to auditory and vestibular systems and also other sensory systems. This will be done before the participants are evaluated using the audiological and vestibular test battery.</w:t>
      </w:r>
    </w:p>
    <w:p w:rsidR="005E0373" w:rsidRPr="005E0373" w:rsidRDefault="005E0373" w:rsidP="005E0373">
      <w:pPr>
        <w:pStyle w:val="svarticle"/>
        <w:shd w:val="clear" w:color="auto" w:fill="FFFFFF"/>
        <w:spacing w:before="240" w:beforeAutospacing="0" w:after="240" w:afterAutospacing="0" w:line="480" w:lineRule="auto"/>
        <w:ind w:firstLine="720"/>
        <w:jc w:val="both"/>
        <w:textAlignment w:val="baseline"/>
      </w:pPr>
      <w:r w:rsidRPr="005E0373">
        <w:t xml:space="preserve">Air-conduction and bone-conduction thresholds will be tracked using modified ascending-descending technique (Hughson &amp; Westlake, 1944) to assess the hearing </w:t>
      </w:r>
      <w:r w:rsidRPr="005E0373">
        <w:lastRenderedPageBreak/>
        <w:t xml:space="preserve">sensitivity of the subject. Pure-tone average will be calculated as the average of air-conduction thresholds obtained for 0.5 kHz, 1 kHz, 2 kHz and 4 kHz pure-tones. Speech audiometry will include calculation of speech recognition threshold, speech identification scores and uncomfortable level using appropriate word lists in the participant’s native language. </w:t>
      </w:r>
      <w:proofErr w:type="spellStart"/>
      <w:r w:rsidRPr="005E0373">
        <w:t>Tympanometry</w:t>
      </w:r>
      <w:proofErr w:type="spellEnd"/>
      <w:r w:rsidRPr="005E0373">
        <w:t xml:space="preserve"> will be done using 226 Hz probe-tone to obtain the tympanogram type. Ipsilateral as well as contralateral reflex thresholds will be obtained at 0.5 kHz, 1 kHz, 2 kHz and 4 kHz.</w:t>
      </w:r>
    </w:p>
    <w:p w:rsidR="005E0373" w:rsidRPr="005E0373" w:rsidRDefault="005E0373" w:rsidP="005E0373">
      <w:pPr>
        <w:pStyle w:val="svarticle"/>
        <w:shd w:val="clear" w:color="auto" w:fill="FFFFFF"/>
        <w:spacing w:before="240" w:beforeAutospacing="0" w:after="0" w:afterAutospacing="0" w:line="480" w:lineRule="auto"/>
        <w:ind w:firstLine="720"/>
        <w:jc w:val="both"/>
        <w:textAlignment w:val="baseline"/>
      </w:pPr>
      <w:r w:rsidRPr="005E0373">
        <w:t>A two-channel ABR for standard clicks will be recorded using Biologic Navigator Pro auditory evoked potential system. Before recording the evoked potentials, the electrode placement sites will be scrubbed using a commercially available abrasive gel. The disc type surface electrodes will be placed using commercially available conduction paste and secured in place using surgical plaster. The absolute and inter-electrode impedance will be maintained below 5 k</w:t>
      </w:r>
      <w:r w:rsidRPr="005E0373">
        <w:sym w:font="Symbol" w:char="F057"/>
      </w:r>
      <w:r w:rsidRPr="005E0373">
        <w:t xml:space="preserve"> and 2 k</w:t>
      </w:r>
      <w:r w:rsidRPr="005E0373">
        <w:sym w:font="Symbol" w:char="F057"/>
      </w:r>
      <w:r w:rsidRPr="005E0373">
        <w:t xml:space="preserve"> respectively. The other stimulus and acquisition parameters for recording of ABR are shown in Table 1.</w:t>
      </w:r>
    </w:p>
    <w:p w:rsidR="005E0373" w:rsidRPr="005E0373" w:rsidRDefault="005E0373" w:rsidP="005E0373">
      <w:pPr>
        <w:pStyle w:val="svarticle"/>
        <w:shd w:val="clear" w:color="auto" w:fill="FFFFFF"/>
        <w:spacing w:before="240" w:beforeAutospacing="0" w:after="0" w:afterAutospacing="0" w:line="480" w:lineRule="auto"/>
        <w:jc w:val="both"/>
        <w:textAlignment w:val="baseline"/>
      </w:pPr>
      <w:proofErr w:type="gramStart"/>
      <w:r w:rsidRPr="005E0373">
        <w:t>Table 1.</w:t>
      </w:r>
      <w:proofErr w:type="gramEnd"/>
    </w:p>
    <w:p w:rsidR="005E0373" w:rsidRPr="005E0373" w:rsidRDefault="005E0373" w:rsidP="005E0373">
      <w:pPr>
        <w:pStyle w:val="BodyText"/>
        <w:spacing w:line="480" w:lineRule="auto"/>
        <w:ind w:firstLine="180"/>
        <w:rPr>
          <w:i/>
          <w:sz w:val="24"/>
        </w:rPr>
      </w:pPr>
      <w:r w:rsidRPr="005E0373">
        <w:rPr>
          <w:i/>
          <w:sz w:val="24"/>
        </w:rPr>
        <w:t>Stimulus and acquisition parameters for recording auditory brainstem responses</w:t>
      </w:r>
    </w:p>
    <w:tbl>
      <w:tblPr>
        <w:tblW w:w="9027" w:type="dxa"/>
        <w:tblInd w:w="250" w:type="dxa"/>
        <w:tblBorders>
          <w:top w:val="single" w:sz="4" w:space="0" w:color="000000"/>
          <w:bottom w:val="single" w:sz="4" w:space="0" w:color="000000"/>
          <w:insideH w:val="single" w:sz="4" w:space="0" w:color="000000"/>
        </w:tblBorders>
        <w:tblLook w:val="04A0"/>
      </w:tblPr>
      <w:tblGrid>
        <w:gridCol w:w="1400"/>
        <w:gridCol w:w="8"/>
        <w:gridCol w:w="1711"/>
        <w:gridCol w:w="2126"/>
        <w:gridCol w:w="3782"/>
      </w:tblGrid>
      <w:tr w:rsidR="005E0373" w:rsidRPr="00311343" w:rsidTr="00311343">
        <w:trPr>
          <w:trHeight w:val="411"/>
        </w:trPr>
        <w:tc>
          <w:tcPr>
            <w:tcW w:w="3119" w:type="dxa"/>
            <w:gridSpan w:val="3"/>
            <w:tcBorders>
              <w:bottom w:val="single" w:sz="4" w:space="0" w:color="000000"/>
            </w:tcBorders>
          </w:tcPr>
          <w:p w:rsidR="005E0373" w:rsidRPr="005E0373" w:rsidRDefault="005E0373" w:rsidP="00311343">
            <w:pPr>
              <w:pStyle w:val="NoSpacing"/>
              <w:spacing w:line="360" w:lineRule="auto"/>
              <w:jc w:val="center"/>
            </w:pPr>
            <w:r w:rsidRPr="005E0373">
              <w:t>Stimulus parameters</w:t>
            </w:r>
          </w:p>
        </w:tc>
        <w:tc>
          <w:tcPr>
            <w:tcW w:w="5908" w:type="dxa"/>
            <w:gridSpan w:val="2"/>
            <w:tcBorders>
              <w:bottom w:val="single" w:sz="4" w:space="0" w:color="000000"/>
            </w:tcBorders>
          </w:tcPr>
          <w:p w:rsidR="005E0373" w:rsidRPr="005E0373" w:rsidRDefault="005E0373" w:rsidP="00311343">
            <w:pPr>
              <w:pStyle w:val="NoSpacing"/>
              <w:spacing w:line="360" w:lineRule="auto"/>
              <w:jc w:val="center"/>
            </w:pPr>
            <w:r w:rsidRPr="005E0373">
              <w:t>Acquisition Parameters</w:t>
            </w:r>
          </w:p>
        </w:tc>
      </w:tr>
      <w:tr w:rsidR="005E0373" w:rsidRPr="00311343" w:rsidTr="00311343">
        <w:trPr>
          <w:trHeight w:val="423"/>
        </w:trPr>
        <w:tc>
          <w:tcPr>
            <w:tcW w:w="1408" w:type="dxa"/>
            <w:gridSpan w:val="2"/>
            <w:tcBorders>
              <w:bottom w:val="nil"/>
            </w:tcBorders>
          </w:tcPr>
          <w:p w:rsidR="005E0373" w:rsidRPr="005E0373" w:rsidRDefault="005E0373" w:rsidP="00311343">
            <w:pPr>
              <w:pStyle w:val="NoSpacing"/>
              <w:spacing w:line="360" w:lineRule="auto"/>
            </w:pPr>
            <w:r w:rsidRPr="005E0373">
              <w:t>Stimulus</w:t>
            </w:r>
          </w:p>
        </w:tc>
        <w:tc>
          <w:tcPr>
            <w:tcW w:w="1711" w:type="dxa"/>
            <w:tcBorders>
              <w:bottom w:val="nil"/>
            </w:tcBorders>
          </w:tcPr>
          <w:p w:rsidR="005E0373" w:rsidRPr="005E0373" w:rsidRDefault="005E0373" w:rsidP="00311343">
            <w:pPr>
              <w:pStyle w:val="NoSpacing"/>
              <w:spacing w:line="360" w:lineRule="auto"/>
            </w:pPr>
            <w:r w:rsidRPr="005E0373">
              <w:t>Click</w:t>
            </w:r>
          </w:p>
        </w:tc>
        <w:tc>
          <w:tcPr>
            <w:tcW w:w="2126" w:type="dxa"/>
            <w:tcBorders>
              <w:bottom w:val="nil"/>
            </w:tcBorders>
          </w:tcPr>
          <w:p w:rsidR="005E0373" w:rsidRPr="005E0373" w:rsidRDefault="005E0373" w:rsidP="00311343">
            <w:pPr>
              <w:pStyle w:val="NoSpacing"/>
              <w:spacing w:line="360" w:lineRule="auto"/>
            </w:pPr>
            <w:r w:rsidRPr="005E0373">
              <w:t>Amplifier Gain</w:t>
            </w:r>
          </w:p>
        </w:tc>
        <w:tc>
          <w:tcPr>
            <w:tcW w:w="3782" w:type="dxa"/>
            <w:tcBorders>
              <w:bottom w:val="nil"/>
            </w:tcBorders>
          </w:tcPr>
          <w:p w:rsidR="005E0373" w:rsidRPr="005E0373" w:rsidRDefault="005E0373" w:rsidP="00311343">
            <w:pPr>
              <w:pStyle w:val="NoSpacing"/>
              <w:spacing w:line="360" w:lineRule="auto"/>
            </w:pPr>
            <w:r w:rsidRPr="005E0373">
              <w:t>100000 times</w:t>
            </w:r>
          </w:p>
        </w:tc>
      </w:tr>
      <w:tr w:rsidR="005E0373" w:rsidRPr="00311343" w:rsidTr="00311343">
        <w:trPr>
          <w:trHeight w:val="411"/>
        </w:trPr>
        <w:tc>
          <w:tcPr>
            <w:tcW w:w="1408" w:type="dxa"/>
            <w:gridSpan w:val="2"/>
            <w:tcBorders>
              <w:top w:val="nil"/>
              <w:bottom w:val="nil"/>
            </w:tcBorders>
          </w:tcPr>
          <w:p w:rsidR="005E0373" w:rsidRPr="005E0373" w:rsidRDefault="005E0373" w:rsidP="00311343">
            <w:pPr>
              <w:pStyle w:val="NoSpacing"/>
              <w:spacing w:line="360" w:lineRule="auto"/>
            </w:pPr>
            <w:r w:rsidRPr="005E0373">
              <w:t>Onset phase</w:t>
            </w:r>
          </w:p>
        </w:tc>
        <w:tc>
          <w:tcPr>
            <w:tcW w:w="1711" w:type="dxa"/>
            <w:tcBorders>
              <w:top w:val="nil"/>
              <w:bottom w:val="nil"/>
            </w:tcBorders>
          </w:tcPr>
          <w:p w:rsidR="005E0373" w:rsidRPr="005E0373" w:rsidRDefault="005E0373" w:rsidP="00311343">
            <w:pPr>
              <w:pStyle w:val="NoSpacing"/>
              <w:spacing w:line="360" w:lineRule="auto"/>
            </w:pPr>
            <w:r w:rsidRPr="005E0373">
              <w:t>Rarefaction</w:t>
            </w:r>
          </w:p>
        </w:tc>
        <w:tc>
          <w:tcPr>
            <w:tcW w:w="2126" w:type="dxa"/>
            <w:tcBorders>
              <w:top w:val="nil"/>
              <w:bottom w:val="nil"/>
            </w:tcBorders>
          </w:tcPr>
          <w:p w:rsidR="005E0373" w:rsidRPr="005E0373" w:rsidRDefault="005E0373" w:rsidP="00311343">
            <w:pPr>
              <w:pStyle w:val="NoSpacing"/>
              <w:spacing w:line="360" w:lineRule="auto"/>
            </w:pPr>
            <w:r w:rsidRPr="005E0373">
              <w:t xml:space="preserve">Filter setting </w:t>
            </w:r>
          </w:p>
        </w:tc>
        <w:tc>
          <w:tcPr>
            <w:tcW w:w="3782" w:type="dxa"/>
            <w:tcBorders>
              <w:top w:val="nil"/>
              <w:bottom w:val="nil"/>
            </w:tcBorders>
          </w:tcPr>
          <w:p w:rsidR="005E0373" w:rsidRPr="005E0373" w:rsidRDefault="005E0373" w:rsidP="00311343">
            <w:pPr>
              <w:pStyle w:val="NoSpacing"/>
              <w:spacing w:line="360" w:lineRule="auto"/>
            </w:pPr>
            <w:r w:rsidRPr="005E0373">
              <w:t>100-3000 Hz</w:t>
            </w:r>
          </w:p>
        </w:tc>
      </w:tr>
      <w:tr w:rsidR="005E0373" w:rsidRPr="00311343" w:rsidTr="00311343">
        <w:trPr>
          <w:trHeight w:val="411"/>
        </w:trPr>
        <w:tc>
          <w:tcPr>
            <w:tcW w:w="1408" w:type="dxa"/>
            <w:gridSpan w:val="2"/>
            <w:tcBorders>
              <w:top w:val="nil"/>
              <w:bottom w:val="nil"/>
            </w:tcBorders>
          </w:tcPr>
          <w:p w:rsidR="005E0373" w:rsidRPr="005E0373" w:rsidRDefault="005E0373" w:rsidP="00311343">
            <w:pPr>
              <w:pStyle w:val="NoSpacing"/>
              <w:spacing w:line="360" w:lineRule="auto"/>
            </w:pPr>
            <w:r w:rsidRPr="005E0373">
              <w:t>Intensity</w:t>
            </w:r>
          </w:p>
        </w:tc>
        <w:tc>
          <w:tcPr>
            <w:tcW w:w="1711" w:type="dxa"/>
            <w:tcBorders>
              <w:top w:val="nil"/>
              <w:bottom w:val="nil"/>
            </w:tcBorders>
          </w:tcPr>
          <w:p w:rsidR="005E0373" w:rsidRPr="005E0373" w:rsidRDefault="005E0373" w:rsidP="00311343">
            <w:pPr>
              <w:pStyle w:val="NoSpacing"/>
              <w:spacing w:line="360" w:lineRule="auto"/>
            </w:pPr>
            <w:r w:rsidRPr="005E0373">
              <w:t xml:space="preserve">90 dB </w:t>
            </w:r>
            <w:proofErr w:type="spellStart"/>
            <w:r w:rsidRPr="005E0373">
              <w:t>nHL</w:t>
            </w:r>
            <w:proofErr w:type="spellEnd"/>
          </w:p>
        </w:tc>
        <w:tc>
          <w:tcPr>
            <w:tcW w:w="2126" w:type="dxa"/>
            <w:tcBorders>
              <w:top w:val="nil"/>
              <w:bottom w:val="nil"/>
            </w:tcBorders>
          </w:tcPr>
          <w:p w:rsidR="005E0373" w:rsidRPr="005E0373" w:rsidRDefault="005E0373" w:rsidP="00311343">
            <w:pPr>
              <w:pStyle w:val="NoSpacing"/>
              <w:spacing w:line="360" w:lineRule="auto"/>
            </w:pPr>
            <w:r w:rsidRPr="005E0373">
              <w:t>Time window</w:t>
            </w:r>
          </w:p>
        </w:tc>
        <w:tc>
          <w:tcPr>
            <w:tcW w:w="3782" w:type="dxa"/>
            <w:tcBorders>
              <w:top w:val="nil"/>
              <w:bottom w:val="nil"/>
            </w:tcBorders>
          </w:tcPr>
          <w:p w:rsidR="005E0373" w:rsidRPr="005E0373" w:rsidRDefault="005E0373" w:rsidP="00311343">
            <w:pPr>
              <w:pStyle w:val="NoSpacing"/>
              <w:spacing w:line="360" w:lineRule="auto"/>
            </w:pPr>
            <w:r w:rsidRPr="005E0373">
              <w:t>10 ms</w:t>
            </w:r>
          </w:p>
        </w:tc>
      </w:tr>
      <w:tr w:rsidR="005E0373" w:rsidRPr="00311343" w:rsidTr="00311343">
        <w:trPr>
          <w:trHeight w:val="363"/>
        </w:trPr>
        <w:tc>
          <w:tcPr>
            <w:tcW w:w="1408" w:type="dxa"/>
            <w:gridSpan w:val="2"/>
            <w:tcBorders>
              <w:top w:val="nil"/>
              <w:bottom w:val="nil"/>
            </w:tcBorders>
          </w:tcPr>
          <w:p w:rsidR="005E0373" w:rsidRPr="005E0373" w:rsidRDefault="005E0373" w:rsidP="00311343">
            <w:pPr>
              <w:pStyle w:val="NoSpacing"/>
              <w:spacing w:line="360" w:lineRule="auto"/>
            </w:pPr>
            <w:r w:rsidRPr="005E0373">
              <w:t>Rate</w:t>
            </w:r>
          </w:p>
        </w:tc>
        <w:tc>
          <w:tcPr>
            <w:tcW w:w="1711" w:type="dxa"/>
            <w:tcBorders>
              <w:top w:val="nil"/>
              <w:bottom w:val="nil"/>
            </w:tcBorders>
          </w:tcPr>
          <w:p w:rsidR="005E0373" w:rsidRPr="005E0373" w:rsidRDefault="005E0373" w:rsidP="00311343">
            <w:pPr>
              <w:pStyle w:val="NoSpacing"/>
              <w:spacing w:line="360" w:lineRule="auto"/>
            </w:pPr>
            <w:r w:rsidRPr="005E0373">
              <w:t>11.1/s &amp; 90.1/s</w:t>
            </w:r>
          </w:p>
        </w:tc>
        <w:tc>
          <w:tcPr>
            <w:tcW w:w="2126" w:type="dxa"/>
            <w:tcBorders>
              <w:top w:val="nil"/>
              <w:bottom w:val="nil"/>
            </w:tcBorders>
          </w:tcPr>
          <w:p w:rsidR="005E0373" w:rsidRPr="005E0373" w:rsidRDefault="005E0373" w:rsidP="00311343">
            <w:pPr>
              <w:pStyle w:val="NoSpacing"/>
              <w:spacing w:line="360" w:lineRule="auto"/>
            </w:pPr>
            <w:r w:rsidRPr="005E0373">
              <w:t>Number of sweeps</w:t>
            </w:r>
          </w:p>
        </w:tc>
        <w:tc>
          <w:tcPr>
            <w:tcW w:w="3782" w:type="dxa"/>
            <w:tcBorders>
              <w:top w:val="nil"/>
              <w:bottom w:val="nil"/>
            </w:tcBorders>
          </w:tcPr>
          <w:p w:rsidR="005E0373" w:rsidRPr="005E0373" w:rsidRDefault="005E0373" w:rsidP="00311343">
            <w:pPr>
              <w:pStyle w:val="NoSpacing"/>
              <w:spacing w:line="360" w:lineRule="auto"/>
            </w:pPr>
            <w:r w:rsidRPr="005E0373">
              <w:t>1500</w:t>
            </w:r>
          </w:p>
        </w:tc>
      </w:tr>
      <w:tr w:rsidR="005E0373" w:rsidRPr="00311343" w:rsidTr="00311343">
        <w:trPr>
          <w:trHeight w:val="849"/>
        </w:trPr>
        <w:tc>
          <w:tcPr>
            <w:tcW w:w="1400" w:type="dxa"/>
            <w:tcBorders>
              <w:top w:val="nil"/>
            </w:tcBorders>
          </w:tcPr>
          <w:p w:rsidR="005E0373" w:rsidRPr="005E0373" w:rsidRDefault="005E0373" w:rsidP="00311343">
            <w:pPr>
              <w:pStyle w:val="NoSpacing"/>
              <w:spacing w:line="360" w:lineRule="auto"/>
            </w:pPr>
          </w:p>
          <w:p w:rsidR="005E0373" w:rsidRPr="005E0373" w:rsidRDefault="005E0373" w:rsidP="00311343">
            <w:pPr>
              <w:pStyle w:val="NoSpacing"/>
              <w:spacing w:line="360" w:lineRule="auto"/>
            </w:pPr>
          </w:p>
          <w:p w:rsidR="005E0373" w:rsidRPr="005E0373" w:rsidRDefault="005E0373" w:rsidP="00311343">
            <w:pPr>
              <w:pStyle w:val="NoSpacing"/>
              <w:spacing w:line="360" w:lineRule="auto"/>
            </w:pPr>
          </w:p>
          <w:p w:rsidR="005E0373" w:rsidRPr="005E0373" w:rsidRDefault="005E0373" w:rsidP="00311343">
            <w:pPr>
              <w:pStyle w:val="NoSpacing"/>
              <w:spacing w:line="360" w:lineRule="auto"/>
            </w:pPr>
          </w:p>
        </w:tc>
        <w:tc>
          <w:tcPr>
            <w:tcW w:w="1719" w:type="dxa"/>
            <w:gridSpan w:val="2"/>
            <w:tcBorders>
              <w:top w:val="nil"/>
            </w:tcBorders>
          </w:tcPr>
          <w:p w:rsidR="005E0373" w:rsidRPr="00311343" w:rsidRDefault="005E0373" w:rsidP="00311343">
            <w:pPr>
              <w:spacing w:after="0" w:line="360" w:lineRule="auto"/>
              <w:rPr>
                <w:rFonts w:ascii="Times New Roman" w:hAnsi="Times New Roman"/>
                <w:sz w:val="24"/>
                <w:szCs w:val="24"/>
                <w:lang w:eastAsia="en-US" w:bidi="ar-SA"/>
              </w:rPr>
            </w:pPr>
          </w:p>
          <w:p w:rsidR="005E0373" w:rsidRPr="00311343" w:rsidRDefault="005E0373" w:rsidP="00311343">
            <w:pPr>
              <w:spacing w:after="0" w:line="360" w:lineRule="auto"/>
              <w:rPr>
                <w:rFonts w:ascii="Times New Roman" w:hAnsi="Times New Roman"/>
                <w:sz w:val="24"/>
                <w:szCs w:val="24"/>
                <w:lang w:eastAsia="en-US" w:bidi="ar-SA"/>
              </w:rPr>
            </w:pPr>
          </w:p>
          <w:p w:rsidR="005E0373" w:rsidRPr="00311343" w:rsidRDefault="005E0373" w:rsidP="00311343">
            <w:pPr>
              <w:spacing w:after="0" w:line="360" w:lineRule="auto"/>
              <w:rPr>
                <w:rFonts w:ascii="Times New Roman" w:hAnsi="Times New Roman"/>
                <w:sz w:val="24"/>
                <w:szCs w:val="24"/>
                <w:lang w:eastAsia="en-US" w:bidi="ar-SA"/>
              </w:rPr>
            </w:pPr>
          </w:p>
          <w:p w:rsidR="005E0373" w:rsidRPr="005E0373" w:rsidRDefault="005E0373" w:rsidP="00311343">
            <w:pPr>
              <w:pStyle w:val="NoSpacing"/>
              <w:spacing w:line="360" w:lineRule="auto"/>
            </w:pPr>
          </w:p>
        </w:tc>
        <w:tc>
          <w:tcPr>
            <w:tcW w:w="2126" w:type="dxa"/>
            <w:tcBorders>
              <w:top w:val="nil"/>
            </w:tcBorders>
          </w:tcPr>
          <w:p w:rsidR="005E0373" w:rsidRPr="005E0373" w:rsidRDefault="005E0373" w:rsidP="00311343">
            <w:pPr>
              <w:pStyle w:val="NoSpacing"/>
              <w:spacing w:line="360" w:lineRule="auto"/>
            </w:pPr>
            <w:r w:rsidRPr="005E0373">
              <w:t>Electrode placement</w:t>
            </w:r>
          </w:p>
        </w:tc>
        <w:tc>
          <w:tcPr>
            <w:tcW w:w="3782" w:type="dxa"/>
            <w:tcBorders>
              <w:top w:val="nil"/>
            </w:tcBorders>
          </w:tcPr>
          <w:p w:rsidR="005E0373" w:rsidRPr="005E0373" w:rsidRDefault="005E0373" w:rsidP="00311343">
            <w:pPr>
              <w:pStyle w:val="NoSpacing"/>
              <w:spacing w:line="360" w:lineRule="auto"/>
            </w:pPr>
            <w:r w:rsidRPr="005E0373">
              <w:t>Non-inverting (+):  Vertex (</w:t>
            </w:r>
            <w:proofErr w:type="spellStart"/>
            <w:r w:rsidRPr="005E0373">
              <w:t>Cz</w:t>
            </w:r>
            <w:proofErr w:type="spellEnd"/>
            <w:r w:rsidRPr="005E0373">
              <w:t>)</w:t>
            </w:r>
          </w:p>
          <w:p w:rsidR="005E0373" w:rsidRPr="005E0373" w:rsidRDefault="005E0373" w:rsidP="00311343">
            <w:pPr>
              <w:pStyle w:val="NoSpacing"/>
              <w:spacing w:line="360" w:lineRule="auto"/>
            </w:pPr>
            <w:r w:rsidRPr="005E0373">
              <w:t>Inverting (-): Mastoids of both ears (M1 &amp; M2)</w:t>
            </w:r>
          </w:p>
          <w:p w:rsidR="005E0373" w:rsidRPr="005E0373" w:rsidRDefault="005E0373" w:rsidP="00311343">
            <w:pPr>
              <w:pStyle w:val="NoSpacing"/>
              <w:spacing w:line="360" w:lineRule="auto"/>
            </w:pPr>
            <w:r w:rsidRPr="005E0373">
              <w:t>Ground: Forehead (</w:t>
            </w:r>
            <w:proofErr w:type="spellStart"/>
            <w:r w:rsidRPr="005E0373">
              <w:t>Fz</w:t>
            </w:r>
            <w:proofErr w:type="spellEnd"/>
            <w:r w:rsidRPr="005E0373">
              <w:t>)</w:t>
            </w:r>
          </w:p>
        </w:tc>
      </w:tr>
    </w:tbl>
    <w:p w:rsidR="005E0373" w:rsidRPr="005E0373" w:rsidRDefault="005E0373" w:rsidP="005E0373">
      <w:pPr>
        <w:spacing w:line="480" w:lineRule="auto"/>
        <w:ind w:firstLine="720"/>
        <w:jc w:val="both"/>
        <w:rPr>
          <w:rFonts w:ascii="Times New Roman" w:hAnsi="Times New Roman"/>
          <w:sz w:val="24"/>
          <w:szCs w:val="24"/>
        </w:rPr>
      </w:pPr>
    </w:p>
    <w:p w:rsidR="005E0373" w:rsidRPr="005E0373" w:rsidRDefault="005E0373" w:rsidP="005E0373">
      <w:pPr>
        <w:spacing w:after="240" w:line="480" w:lineRule="auto"/>
        <w:ind w:firstLine="720"/>
        <w:jc w:val="both"/>
        <w:rPr>
          <w:rFonts w:ascii="Times New Roman" w:hAnsi="Times New Roman"/>
          <w:sz w:val="24"/>
          <w:szCs w:val="24"/>
        </w:rPr>
      </w:pPr>
      <w:r w:rsidRPr="005E0373">
        <w:rPr>
          <w:rFonts w:ascii="Times New Roman" w:hAnsi="Times New Roman"/>
          <w:sz w:val="24"/>
          <w:szCs w:val="24"/>
        </w:rPr>
        <w:lastRenderedPageBreak/>
        <w:t>For the FST, the participants will be instructed to stretch both their arms in front of them and march with their eyes closed at the same place for 50 steps at a rate of about 1 step/s. The angle of deviation &gt;45º in either direction and/or distance of deviation &gt;1m will be considered abnormal, as reported previously (</w:t>
      </w:r>
      <w:proofErr w:type="spellStart"/>
      <w:r w:rsidRPr="005E0373">
        <w:rPr>
          <w:rFonts w:ascii="Times New Roman" w:hAnsi="Times New Roman"/>
          <w:sz w:val="24"/>
          <w:szCs w:val="24"/>
        </w:rPr>
        <w:t>Harit</w:t>
      </w:r>
      <w:proofErr w:type="spellEnd"/>
      <w:r w:rsidRPr="005E0373">
        <w:rPr>
          <w:rFonts w:ascii="Times New Roman" w:hAnsi="Times New Roman"/>
          <w:sz w:val="24"/>
          <w:szCs w:val="24"/>
        </w:rPr>
        <w:t xml:space="preserve"> &amp; Singh, 2012). For the sharpened Romberg test, the participant will be asked to stand on a foamed surface of minimum 4 cm thickness with arms outstretched </w:t>
      </w:r>
      <w:r w:rsidR="008E00CF" w:rsidRPr="005E0373">
        <w:rPr>
          <w:rFonts w:ascii="Times New Roman" w:hAnsi="Times New Roman"/>
          <w:sz w:val="24"/>
          <w:szCs w:val="24"/>
        </w:rPr>
        <w:t>in front</w:t>
      </w:r>
      <w:r w:rsidRPr="005E0373">
        <w:rPr>
          <w:rFonts w:ascii="Times New Roman" w:hAnsi="Times New Roman"/>
          <w:sz w:val="24"/>
          <w:szCs w:val="24"/>
        </w:rPr>
        <w:t xml:space="preserve"> and feet positioned heel-to-toe for 30 seconds. The duration of balance sustenance in this position (maximum up to 30 seconds) will measured using a stop watch. An average of 5 trails will be considered as the final value.</w:t>
      </w:r>
    </w:p>
    <w:p w:rsidR="005E0373" w:rsidRPr="005E0373" w:rsidRDefault="005E0373" w:rsidP="005E0373">
      <w:pPr>
        <w:spacing w:before="240" w:line="480" w:lineRule="auto"/>
        <w:ind w:firstLine="720"/>
        <w:jc w:val="both"/>
        <w:rPr>
          <w:rFonts w:ascii="Times New Roman" w:hAnsi="Times New Roman"/>
          <w:sz w:val="24"/>
          <w:szCs w:val="24"/>
        </w:rPr>
      </w:pPr>
      <w:r w:rsidRPr="005E0373">
        <w:rPr>
          <w:rFonts w:ascii="Times New Roman" w:hAnsi="Times New Roman"/>
          <w:sz w:val="24"/>
          <w:szCs w:val="24"/>
        </w:rPr>
        <w:t xml:space="preserve"> The subjective visual vertical test will be done using the bucket test. The participant will be instructed to place his/her head as inside the bucket as comfortable and align the position of the strip present along the diameter of the base of the bucket in their perceived vertical position. The angle of deviation from the actual vertical will be noted by a pointer indicating the angles on a 360º protractor attached to the back of the base of the bucket. The bucket will be handed at different angles during every trial and an average of 10 trials will be considered as the final value of vertical deviation. A &gt;3º deviation of the perceived vertical from the true vertical will be deemed to be abnormal result (</w:t>
      </w:r>
      <w:proofErr w:type="spellStart"/>
      <w:r w:rsidRPr="005E0373">
        <w:rPr>
          <w:rFonts w:ascii="Times New Roman" w:hAnsi="Times New Roman"/>
          <w:sz w:val="24"/>
          <w:szCs w:val="24"/>
        </w:rPr>
        <w:t>Karlberg</w:t>
      </w:r>
      <w:proofErr w:type="spellEnd"/>
      <w:r w:rsidRPr="005E0373">
        <w:rPr>
          <w:rFonts w:ascii="Times New Roman" w:hAnsi="Times New Roman"/>
          <w:sz w:val="24"/>
          <w:szCs w:val="24"/>
        </w:rPr>
        <w:t xml:space="preserve">, Aw, </w:t>
      </w:r>
      <w:proofErr w:type="spellStart"/>
      <w:r w:rsidRPr="005E0373">
        <w:rPr>
          <w:rFonts w:ascii="Times New Roman" w:hAnsi="Times New Roman"/>
          <w:sz w:val="24"/>
          <w:szCs w:val="24"/>
        </w:rPr>
        <w:t>Halmagyi</w:t>
      </w:r>
      <w:proofErr w:type="spellEnd"/>
      <w:r w:rsidRPr="005E0373">
        <w:rPr>
          <w:rFonts w:ascii="Times New Roman" w:hAnsi="Times New Roman"/>
          <w:sz w:val="24"/>
          <w:szCs w:val="24"/>
        </w:rPr>
        <w:t xml:space="preserve"> &amp; Black, 2002; </w:t>
      </w:r>
      <w:proofErr w:type="spellStart"/>
      <w:r w:rsidRPr="005E0373">
        <w:rPr>
          <w:rFonts w:ascii="Times New Roman" w:hAnsi="Times New Roman"/>
          <w:sz w:val="24"/>
          <w:szCs w:val="24"/>
        </w:rPr>
        <w:t>Hafstrom</w:t>
      </w:r>
      <w:proofErr w:type="spellEnd"/>
      <w:r w:rsidRPr="005E0373">
        <w:rPr>
          <w:rFonts w:ascii="Times New Roman" w:hAnsi="Times New Roman"/>
          <w:sz w:val="24"/>
          <w:szCs w:val="24"/>
        </w:rPr>
        <w:t xml:space="preserve">, </w:t>
      </w:r>
      <w:proofErr w:type="spellStart"/>
      <w:r w:rsidRPr="005E0373">
        <w:rPr>
          <w:rFonts w:ascii="Times New Roman" w:hAnsi="Times New Roman"/>
          <w:sz w:val="24"/>
          <w:szCs w:val="24"/>
        </w:rPr>
        <w:t>Fransson</w:t>
      </w:r>
      <w:proofErr w:type="spellEnd"/>
      <w:r w:rsidRPr="005E0373">
        <w:rPr>
          <w:rFonts w:ascii="Times New Roman" w:hAnsi="Times New Roman"/>
          <w:sz w:val="24"/>
          <w:szCs w:val="24"/>
        </w:rPr>
        <w:t xml:space="preserve">, </w:t>
      </w:r>
      <w:proofErr w:type="spellStart"/>
      <w:r w:rsidRPr="005E0373">
        <w:rPr>
          <w:rFonts w:ascii="Times New Roman" w:hAnsi="Times New Roman"/>
          <w:sz w:val="24"/>
          <w:szCs w:val="24"/>
        </w:rPr>
        <w:t>Karlberg</w:t>
      </w:r>
      <w:proofErr w:type="spellEnd"/>
      <w:r w:rsidRPr="005E0373">
        <w:rPr>
          <w:rFonts w:ascii="Times New Roman" w:hAnsi="Times New Roman"/>
          <w:sz w:val="24"/>
          <w:szCs w:val="24"/>
        </w:rPr>
        <w:t xml:space="preserve"> &amp; Magnusson, 2004).</w:t>
      </w:r>
    </w:p>
    <w:p w:rsidR="005E0373" w:rsidRPr="005E0373" w:rsidRDefault="005E0373" w:rsidP="005E0373">
      <w:pPr>
        <w:spacing w:before="240" w:after="240" w:line="480" w:lineRule="auto"/>
        <w:jc w:val="both"/>
        <w:rPr>
          <w:rFonts w:ascii="Times New Roman" w:hAnsi="Times New Roman"/>
          <w:sz w:val="24"/>
          <w:szCs w:val="24"/>
        </w:rPr>
      </w:pPr>
      <w:r w:rsidRPr="005E0373">
        <w:rPr>
          <w:rFonts w:ascii="Times New Roman" w:hAnsi="Times New Roman"/>
          <w:sz w:val="24"/>
          <w:szCs w:val="24"/>
        </w:rPr>
        <w:tab/>
        <w:t xml:space="preserve">For the </w:t>
      </w:r>
      <w:proofErr w:type="spellStart"/>
      <w:r w:rsidRPr="005E0373">
        <w:rPr>
          <w:rFonts w:ascii="Times New Roman" w:hAnsi="Times New Roman"/>
          <w:sz w:val="24"/>
          <w:szCs w:val="24"/>
        </w:rPr>
        <w:t>cVEMP</w:t>
      </w:r>
      <w:proofErr w:type="spellEnd"/>
      <w:r w:rsidRPr="005E0373">
        <w:rPr>
          <w:rFonts w:ascii="Times New Roman" w:hAnsi="Times New Roman"/>
          <w:sz w:val="24"/>
          <w:szCs w:val="24"/>
        </w:rPr>
        <w:t xml:space="preserve"> recordings, the electrodes will be placed at the </w:t>
      </w:r>
      <w:proofErr w:type="spellStart"/>
      <w:r w:rsidRPr="005E0373">
        <w:rPr>
          <w:rFonts w:ascii="Times New Roman" w:hAnsi="Times New Roman"/>
          <w:sz w:val="24"/>
          <w:szCs w:val="24"/>
        </w:rPr>
        <w:t>sternoclavicular</w:t>
      </w:r>
      <w:proofErr w:type="spellEnd"/>
      <w:r w:rsidRPr="005E0373">
        <w:rPr>
          <w:rFonts w:ascii="Times New Roman" w:hAnsi="Times New Roman"/>
          <w:sz w:val="24"/>
          <w:szCs w:val="24"/>
        </w:rPr>
        <w:t xml:space="preserve"> junction (inverting), superior 1/3</w:t>
      </w:r>
      <w:r w:rsidRPr="005E0373">
        <w:rPr>
          <w:rFonts w:ascii="Times New Roman" w:hAnsi="Times New Roman"/>
          <w:sz w:val="24"/>
          <w:szCs w:val="24"/>
          <w:vertAlign w:val="superscript"/>
        </w:rPr>
        <w:t xml:space="preserve">rd </w:t>
      </w:r>
      <w:r w:rsidRPr="005E0373">
        <w:rPr>
          <w:rFonts w:ascii="Times New Roman" w:hAnsi="Times New Roman"/>
          <w:sz w:val="24"/>
          <w:szCs w:val="24"/>
        </w:rPr>
        <w:t xml:space="preserve">of the </w:t>
      </w:r>
      <w:proofErr w:type="spellStart"/>
      <w:r w:rsidRPr="005E0373">
        <w:rPr>
          <w:rFonts w:ascii="Times New Roman" w:hAnsi="Times New Roman"/>
          <w:sz w:val="24"/>
          <w:szCs w:val="24"/>
        </w:rPr>
        <w:t>sternocleidomastoid</w:t>
      </w:r>
      <w:proofErr w:type="spellEnd"/>
      <w:r w:rsidRPr="005E0373">
        <w:rPr>
          <w:rFonts w:ascii="Times New Roman" w:hAnsi="Times New Roman"/>
          <w:sz w:val="24"/>
          <w:szCs w:val="24"/>
        </w:rPr>
        <w:t xml:space="preserve"> muscle (non- inverting) and forehead (ground). For the activation of the </w:t>
      </w:r>
      <w:proofErr w:type="spellStart"/>
      <w:r w:rsidRPr="005E0373">
        <w:rPr>
          <w:rFonts w:ascii="Times New Roman" w:hAnsi="Times New Roman"/>
          <w:sz w:val="24"/>
          <w:szCs w:val="24"/>
        </w:rPr>
        <w:t>sternocleidomastoid</w:t>
      </w:r>
      <w:proofErr w:type="spellEnd"/>
      <w:r w:rsidRPr="005E0373">
        <w:rPr>
          <w:rFonts w:ascii="Times New Roman" w:hAnsi="Times New Roman"/>
          <w:sz w:val="24"/>
          <w:szCs w:val="24"/>
        </w:rPr>
        <w:t xml:space="preserve"> muscle, the participants will be asked to turn their head away from the ear of stimulation. The recording will be done for tone-bursts of 500Hz, 750Hz and 1000Hz. The tone-bursts will be presented to the ear at an intensity of 125 dB </w:t>
      </w:r>
      <w:proofErr w:type="spellStart"/>
      <w:r w:rsidRPr="005E0373">
        <w:rPr>
          <w:rFonts w:ascii="Times New Roman" w:hAnsi="Times New Roman"/>
          <w:sz w:val="24"/>
          <w:szCs w:val="24"/>
        </w:rPr>
        <w:t>peSPL</w:t>
      </w:r>
      <w:proofErr w:type="spellEnd"/>
      <w:r w:rsidRPr="005E0373">
        <w:rPr>
          <w:rFonts w:ascii="Times New Roman" w:hAnsi="Times New Roman"/>
          <w:sz w:val="24"/>
          <w:szCs w:val="24"/>
        </w:rPr>
        <w:t xml:space="preserve"> using a stimulation rate of 5.1Hz. The band-pass filter used will be 1–1500 Hz and the responses will be averaged for 200 sweeps. The pre-stimulus rectification </w:t>
      </w:r>
      <w:r w:rsidRPr="005E0373">
        <w:rPr>
          <w:rFonts w:ascii="Times New Roman" w:hAnsi="Times New Roman"/>
          <w:sz w:val="24"/>
          <w:szCs w:val="24"/>
        </w:rPr>
        <w:lastRenderedPageBreak/>
        <w:t xml:space="preserve">will be used to control for the effects of variations in the </w:t>
      </w:r>
      <w:proofErr w:type="spellStart"/>
      <w:r w:rsidRPr="005E0373">
        <w:rPr>
          <w:rFonts w:ascii="Times New Roman" w:hAnsi="Times New Roman"/>
          <w:sz w:val="24"/>
          <w:szCs w:val="24"/>
        </w:rPr>
        <w:t>electromyographic</w:t>
      </w:r>
      <w:proofErr w:type="spellEnd"/>
      <w:r w:rsidRPr="005E0373">
        <w:rPr>
          <w:rFonts w:ascii="Times New Roman" w:hAnsi="Times New Roman"/>
          <w:sz w:val="24"/>
          <w:szCs w:val="24"/>
        </w:rPr>
        <w:t xml:space="preserve"> activity between the </w:t>
      </w:r>
      <w:proofErr w:type="spellStart"/>
      <w:r w:rsidRPr="005E0373">
        <w:rPr>
          <w:rFonts w:ascii="Times New Roman" w:hAnsi="Times New Roman"/>
          <w:sz w:val="24"/>
          <w:szCs w:val="24"/>
        </w:rPr>
        <w:t>cVEMP</w:t>
      </w:r>
      <w:proofErr w:type="spellEnd"/>
      <w:r w:rsidRPr="005E0373">
        <w:rPr>
          <w:rFonts w:ascii="Times New Roman" w:hAnsi="Times New Roman"/>
          <w:sz w:val="24"/>
          <w:szCs w:val="24"/>
        </w:rPr>
        <w:t xml:space="preserve"> recordings.</w:t>
      </w:r>
    </w:p>
    <w:p w:rsidR="005E0373" w:rsidRPr="005E0373" w:rsidRDefault="005E0373" w:rsidP="005E0373">
      <w:pPr>
        <w:spacing w:before="240" w:after="240" w:line="480" w:lineRule="auto"/>
        <w:jc w:val="both"/>
        <w:rPr>
          <w:rFonts w:ascii="Times New Roman" w:hAnsi="Times New Roman"/>
          <w:sz w:val="24"/>
          <w:szCs w:val="24"/>
        </w:rPr>
      </w:pPr>
      <w:r w:rsidRPr="005E0373">
        <w:rPr>
          <w:rFonts w:ascii="Times New Roman" w:hAnsi="Times New Roman"/>
          <w:sz w:val="24"/>
          <w:szCs w:val="24"/>
        </w:rPr>
        <w:tab/>
        <w:t xml:space="preserve">The </w:t>
      </w:r>
      <w:proofErr w:type="spellStart"/>
      <w:r w:rsidRPr="005E0373">
        <w:rPr>
          <w:rFonts w:ascii="Times New Roman" w:hAnsi="Times New Roman"/>
          <w:sz w:val="24"/>
          <w:szCs w:val="24"/>
        </w:rPr>
        <w:t>oVEMP</w:t>
      </w:r>
      <w:proofErr w:type="spellEnd"/>
      <w:r w:rsidRPr="005E0373">
        <w:rPr>
          <w:rFonts w:ascii="Times New Roman" w:hAnsi="Times New Roman"/>
          <w:sz w:val="24"/>
          <w:szCs w:val="24"/>
        </w:rPr>
        <w:t xml:space="preserve"> will be obtained by placing the non-inverting electrode on skin surface 1 cm below the centre of the lower eye-lid, inverting electrode 2 cm below the non-inverting and ground on the forehead, as used previously (</w:t>
      </w:r>
      <w:proofErr w:type="spellStart"/>
      <w:r w:rsidRPr="005E0373">
        <w:rPr>
          <w:rFonts w:ascii="Times New Roman" w:hAnsi="Times New Roman"/>
          <w:sz w:val="24"/>
          <w:szCs w:val="24"/>
        </w:rPr>
        <w:t>Rosengren</w:t>
      </w:r>
      <w:proofErr w:type="spellEnd"/>
      <w:r w:rsidRPr="005E0373">
        <w:rPr>
          <w:rFonts w:ascii="Times New Roman" w:hAnsi="Times New Roman"/>
          <w:sz w:val="24"/>
          <w:szCs w:val="24"/>
        </w:rPr>
        <w:t xml:space="preserve">, Todd &amp; Colebatch, 2005; Singh &amp; Barman, 2013, 2014, 2015, 2016). The participants will be instructed to maintain a 30º upward centre gaze by staring at a strip placed at the appropriate elevation. The recording will be done using tone bursts of 500Hz, 750Hz and 1000Hz. The tone-bursts will be delivered to the ear canal at an intensity of 125 dB </w:t>
      </w:r>
      <w:proofErr w:type="spellStart"/>
      <w:r w:rsidRPr="005E0373">
        <w:rPr>
          <w:rFonts w:ascii="Times New Roman" w:hAnsi="Times New Roman"/>
          <w:sz w:val="24"/>
          <w:szCs w:val="24"/>
        </w:rPr>
        <w:t>peSPL</w:t>
      </w:r>
      <w:proofErr w:type="spellEnd"/>
      <w:r w:rsidRPr="005E0373">
        <w:rPr>
          <w:rFonts w:ascii="Times New Roman" w:hAnsi="Times New Roman"/>
          <w:sz w:val="24"/>
          <w:szCs w:val="24"/>
        </w:rPr>
        <w:t xml:space="preserve"> using a repetition rate of 5.1Hz. The band-pass filter of 1–1000 Hz will be used and the responses will be averaged for 200 sweeps. </w:t>
      </w:r>
    </w:p>
    <w:p w:rsidR="005E0373" w:rsidRPr="005E0373" w:rsidRDefault="005E0373" w:rsidP="005E0373">
      <w:pPr>
        <w:pStyle w:val="svarticle"/>
        <w:shd w:val="clear" w:color="auto" w:fill="FFFFFF"/>
        <w:spacing w:before="0" w:beforeAutospacing="0" w:after="0" w:afterAutospacing="0" w:line="480" w:lineRule="auto"/>
        <w:ind w:firstLine="720"/>
        <w:jc w:val="both"/>
        <w:textAlignment w:val="baseline"/>
      </w:pPr>
      <w:r w:rsidRPr="005E0373">
        <w:t xml:space="preserve">Video head impulse test will be administered using ICS impulse system with monocular camera for recording the eye movement. A target will be placed at the distance of 1 metre and the subject will be asked to gaze at the target. A head thrust will be given 20 times in </w:t>
      </w:r>
      <w:proofErr w:type="gramStart"/>
      <w:r w:rsidRPr="005E0373">
        <w:t>pitch,</w:t>
      </w:r>
      <w:proofErr w:type="gramEnd"/>
      <w:r w:rsidRPr="005E0373">
        <w:t xml:space="preserve"> roll and yaw planes and VOR gain will be calculated as ratio of eye velocity to head velocity in all the planes. Saccades at the time of head thrust (covert saccades) and after the head thrust (overt saccades) will be considered an abnormal finding.</w:t>
      </w:r>
    </w:p>
    <w:p w:rsidR="005E0373" w:rsidRPr="005E0373" w:rsidRDefault="005E0373" w:rsidP="005E0373">
      <w:pPr>
        <w:pStyle w:val="svarticle"/>
        <w:shd w:val="clear" w:color="auto" w:fill="FFFFFF"/>
        <w:spacing w:before="240" w:beforeAutospacing="0" w:after="0" w:afterAutospacing="0" w:line="480" w:lineRule="auto"/>
        <w:jc w:val="both"/>
        <w:textAlignment w:val="baseline"/>
        <w:rPr>
          <w:b/>
          <w:bCs/>
        </w:rPr>
      </w:pPr>
      <w:r w:rsidRPr="005E0373">
        <w:rPr>
          <w:b/>
          <w:bCs/>
        </w:rPr>
        <w:t>Statistical analysis</w:t>
      </w:r>
    </w:p>
    <w:p w:rsidR="005E0373" w:rsidRPr="005E0373" w:rsidRDefault="005E0373" w:rsidP="005E0373">
      <w:pPr>
        <w:pStyle w:val="svarticle"/>
        <w:shd w:val="clear" w:color="auto" w:fill="FFFFFF"/>
        <w:spacing w:before="0" w:beforeAutospacing="0" w:after="0" w:afterAutospacing="0" w:line="480" w:lineRule="auto"/>
        <w:jc w:val="both"/>
        <w:textAlignment w:val="baseline"/>
      </w:pPr>
      <w:r w:rsidRPr="005E0373">
        <w:tab/>
        <w:t>The data obtained for various tests across the groups will be subjected to the Shapiro-</w:t>
      </w:r>
      <w:proofErr w:type="spellStart"/>
      <w:r w:rsidRPr="005E0373">
        <w:t>Wilk’s</w:t>
      </w:r>
      <w:proofErr w:type="spellEnd"/>
      <w:r w:rsidRPr="005E0373">
        <w:t xml:space="preserve"> test of normality. Depending upon the results of this test, the parametric or non-parametric statistical analysis will be used for between groups comparison of results.</w:t>
      </w:r>
    </w:p>
    <w:p w:rsidR="005E0373" w:rsidRPr="005E0373" w:rsidRDefault="005E0373" w:rsidP="005E0373">
      <w:pPr>
        <w:pStyle w:val="svarticle"/>
        <w:shd w:val="clear" w:color="auto" w:fill="FFFFFF"/>
        <w:spacing w:before="240" w:beforeAutospacing="0" w:after="0" w:afterAutospacing="0" w:line="480" w:lineRule="auto"/>
        <w:jc w:val="both"/>
        <w:textAlignment w:val="baseline"/>
        <w:rPr>
          <w:b/>
          <w:bCs/>
        </w:rPr>
      </w:pPr>
      <w:r w:rsidRPr="005E0373">
        <w:rPr>
          <w:b/>
          <w:bCs/>
        </w:rPr>
        <w:t>Implications of the study</w:t>
      </w:r>
    </w:p>
    <w:p w:rsidR="005E0373" w:rsidRPr="005E0373" w:rsidRDefault="005E0373" w:rsidP="005E0373">
      <w:pPr>
        <w:pStyle w:val="svarticle"/>
        <w:numPr>
          <w:ilvl w:val="0"/>
          <w:numId w:val="44"/>
        </w:numPr>
        <w:shd w:val="clear" w:color="auto" w:fill="FFFFFF"/>
        <w:spacing w:before="0" w:beforeAutospacing="0" w:after="0" w:afterAutospacing="0" w:line="480" w:lineRule="auto"/>
        <w:jc w:val="both"/>
        <w:textAlignment w:val="baseline"/>
      </w:pPr>
      <w:r w:rsidRPr="005E0373">
        <w:t>The study will help us to have a comprehensive idea about the status of audiological and vestibular health in individuals with reduced bone mineral density.</w:t>
      </w:r>
    </w:p>
    <w:p w:rsidR="005E0373" w:rsidRPr="005E0373" w:rsidRDefault="005E0373" w:rsidP="005E0373">
      <w:pPr>
        <w:pStyle w:val="svarticle"/>
        <w:numPr>
          <w:ilvl w:val="0"/>
          <w:numId w:val="44"/>
        </w:numPr>
        <w:shd w:val="clear" w:color="auto" w:fill="FFFFFF"/>
        <w:spacing w:before="0" w:beforeAutospacing="0" w:after="0" w:afterAutospacing="0" w:line="480" w:lineRule="auto"/>
        <w:jc w:val="both"/>
        <w:textAlignment w:val="baseline"/>
      </w:pPr>
      <w:r w:rsidRPr="005E0373">
        <w:lastRenderedPageBreak/>
        <w:t>The findings of the study will help us to understand one of the probable cause of falls, fractures and eventually deterioration in the quality of life in elderly individuals.</w:t>
      </w:r>
    </w:p>
    <w:p w:rsidR="005E0373" w:rsidRPr="005E0373" w:rsidRDefault="005E0373" w:rsidP="005E0373">
      <w:pPr>
        <w:pStyle w:val="svarticle"/>
        <w:numPr>
          <w:ilvl w:val="0"/>
          <w:numId w:val="44"/>
        </w:numPr>
        <w:shd w:val="clear" w:color="auto" w:fill="FFFFFF"/>
        <w:spacing w:before="0" w:beforeAutospacing="0" w:after="0" w:afterAutospacing="0" w:line="480" w:lineRule="auto"/>
        <w:jc w:val="both"/>
        <w:textAlignment w:val="baseline"/>
      </w:pPr>
      <w:r w:rsidRPr="005E0373">
        <w:t>It will give us the idea whether individuals with reduced bone mineral density should undergo audiological and vestibular evaluation as a routine test which would prevent falls if assessed and intervened early.</w:t>
      </w:r>
    </w:p>
    <w:p w:rsidR="005E0373" w:rsidRPr="005E0373" w:rsidRDefault="005E0373" w:rsidP="005E0373">
      <w:pPr>
        <w:pStyle w:val="svarticle"/>
        <w:shd w:val="clear" w:color="auto" w:fill="FFFFFF"/>
        <w:spacing w:before="0" w:beforeAutospacing="0" w:after="0" w:afterAutospacing="0" w:line="480" w:lineRule="auto"/>
        <w:jc w:val="center"/>
        <w:textAlignment w:val="baseline"/>
        <w:rPr>
          <w:b/>
        </w:rPr>
      </w:pPr>
      <w:r w:rsidRPr="005E0373">
        <w:rPr>
          <w:b/>
        </w:rPr>
        <w:t>References</w:t>
      </w:r>
    </w:p>
    <w:p w:rsidR="005E0373" w:rsidRPr="005E0373" w:rsidRDefault="005E0373" w:rsidP="005E0373">
      <w:pPr>
        <w:autoSpaceDE w:val="0"/>
        <w:autoSpaceDN w:val="0"/>
        <w:adjustRightInd w:val="0"/>
        <w:spacing w:line="480" w:lineRule="auto"/>
        <w:ind w:left="720" w:hanging="720"/>
        <w:jc w:val="both"/>
        <w:rPr>
          <w:rFonts w:ascii="Times New Roman" w:hAnsi="Times New Roman"/>
          <w:sz w:val="24"/>
          <w:szCs w:val="24"/>
        </w:rPr>
      </w:pPr>
      <w:proofErr w:type="spellStart"/>
      <w:r w:rsidRPr="005E0373">
        <w:rPr>
          <w:rFonts w:ascii="Times New Roman" w:hAnsi="Times New Roman"/>
          <w:sz w:val="24"/>
          <w:szCs w:val="24"/>
        </w:rPr>
        <w:t>Abreu</w:t>
      </w:r>
      <w:proofErr w:type="spellEnd"/>
      <w:r w:rsidRPr="005E0373">
        <w:rPr>
          <w:rFonts w:ascii="Times New Roman" w:hAnsi="Times New Roman"/>
          <w:sz w:val="24"/>
          <w:szCs w:val="24"/>
        </w:rPr>
        <w:t xml:space="preserve">, D. C., </w:t>
      </w:r>
      <w:proofErr w:type="spellStart"/>
      <w:r w:rsidRPr="005E0373">
        <w:rPr>
          <w:rFonts w:ascii="Times New Roman" w:hAnsi="Times New Roman"/>
          <w:sz w:val="24"/>
          <w:szCs w:val="24"/>
        </w:rPr>
        <w:t>Trevisan</w:t>
      </w:r>
      <w:proofErr w:type="spellEnd"/>
      <w:r w:rsidRPr="005E0373">
        <w:rPr>
          <w:rFonts w:ascii="Times New Roman" w:hAnsi="Times New Roman"/>
          <w:sz w:val="24"/>
          <w:szCs w:val="24"/>
        </w:rPr>
        <w:t xml:space="preserve">, D. C., Costa, G. C., </w:t>
      </w:r>
      <w:proofErr w:type="spellStart"/>
      <w:r w:rsidRPr="005E0373">
        <w:rPr>
          <w:rFonts w:ascii="Times New Roman" w:hAnsi="Times New Roman"/>
          <w:sz w:val="24"/>
          <w:szCs w:val="24"/>
        </w:rPr>
        <w:t>Vasconcelos</w:t>
      </w:r>
      <w:proofErr w:type="spellEnd"/>
      <w:r w:rsidRPr="005E0373">
        <w:rPr>
          <w:rFonts w:ascii="Times New Roman" w:hAnsi="Times New Roman"/>
          <w:sz w:val="24"/>
          <w:szCs w:val="24"/>
        </w:rPr>
        <w:t>, F. M., Gomes, M. M., &amp;</w:t>
      </w:r>
      <w:proofErr w:type="spellStart"/>
      <w:r w:rsidRPr="005E0373">
        <w:rPr>
          <w:rFonts w:ascii="Times New Roman" w:hAnsi="Times New Roman"/>
          <w:sz w:val="24"/>
          <w:szCs w:val="24"/>
        </w:rPr>
        <w:t>Carneiro</w:t>
      </w:r>
      <w:proofErr w:type="spellEnd"/>
      <w:r w:rsidRPr="005E0373">
        <w:rPr>
          <w:rFonts w:ascii="Times New Roman" w:hAnsi="Times New Roman"/>
          <w:sz w:val="24"/>
          <w:szCs w:val="24"/>
        </w:rPr>
        <w:t xml:space="preserve">, A. A. (2010). </w:t>
      </w:r>
      <w:proofErr w:type="gramStart"/>
      <w:r w:rsidRPr="005E0373">
        <w:rPr>
          <w:rFonts w:ascii="Times New Roman" w:hAnsi="Times New Roman"/>
          <w:sz w:val="24"/>
          <w:szCs w:val="24"/>
        </w:rPr>
        <w:t xml:space="preserve">The association between osteoporosis and static balance in elderly </w:t>
      </w:r>
      <w:proofErr w:type="spellStart"/>
      <w:r w:rsidRPr="005E0373">
        <w:rPr>
          <w:rFonts w:ascii="Times New Roman" w:hAnsi="Times New Roman"/>
          <w:sz w:val="24"/>
          <w:szCs w:val="24"/>
        </w:rPr>
        <w:t>women.Osteoporosis</w:t>
      </w:r>
      <w:proofErr w:type="spellEnd"/>
      <w:r w:rsidRPr="005E0373">
        <w:rPr>
          <w:rFonts w:ascii="Times New Roman" w:hAnsi="Times New Roman"/>
          <w:sz w:val="24"/>
          <w:szCs w:val="24"/>
        </w:rPr>
        <w:t xml:space="preserve"> international, 21(9), 1487-1491.</w:t>
      </w:r>
      <w:proofErr w:type="gramEnd"/>
    </w:p>
    <w:p w:rsidR="005E0373" w:rsidRPr="005E0373" w:rsidRDefault="005E0373" w:rsidP="005E0373">
      <w:pPr>
        <w:autoSpaceDE w:val="0"/>
        <w:autoSpaceDN w:val="0"/>
        <w:adjustRightInd w:val="0"/>
        <w:spacing w:line="480" w:lineRule="auto"/>
        <w:ind w:left="720" w:hanging="720"/>
        <w:jc w:val="both"/>
        <w:rPr>
          <w:rFonts w:ascii="Times New Roman" w:hAnsi="Times New Roman"/>
          <w:sz w:val="24"/>
          <w:szCs w:val="24"/>
        </w:rPr>
      </w:pPr>
      <w:r w:rsidRPr="005E0373">
        <w:rPr>
          <w:rFonts w:ascii="Times New Roman" w:hAnsi="Times New Roman"/>
          <w:sz w:val="24"/>
          <w:szCs w:val="24"/>
        </w:rPr>
        <w:t>ANSI S3.1-1999 (R2008)</w:t>
      </w:r>
      <w:proofErr w:type="gramStart"/>
      <w:r w:rsidRPr="005E0373">
        <w:rPr>
          <w:rFonts w:ascii="Times New Roman" w:hAnsi="Times New Roman"/>
          <w:sz w:val="24"/>
          <w:szCs w:val="24"/>
        </w:rPr>
        <w:t>.(</w:t>
      </w:r>
      <w:proofErr w:type="gramEnd"/>
      <w:r w:rsidRPr="005E0373">
        <w:rPr>
          <w:rFonts w:ascii="Times New Roman" w:hAnsi="Times New Roman"/>
          <w:sz w:val="24"/>
          <w:szCs w:val="24"/>
        </w:rPr>
        <w:t>1999). Maximum permissible ambient noise levels for audiometric test rooms.</w:t>
      </w:r>
    </w:p>
    <w:p w:rsidR="005E0373" w:rsidRPr="005E0373" w:rsidRDefault="005E0373" w:rsidP="005E0373">
      <w:pPr>
        <w:autoSpaceDE w:val="0"/>
        <w:autoSpaceDN w:val="0"/>
        <w:adjustRightInd w:val="0"/>
        <w:spacing w:line="480" w:lineRule="auto"/>
        <w:ind w:left="720" w:hanging="720"/>
        <w:jc w:val="both"/>
        <w:rPr>
          <w:rFonts w:ascii="Times New Roman" w:hAnsi="Times New Roman"/>
          <w:sz w:val="24"/>
          <w:szCs w:val="24"/>
        </w:rPr>
      </w:pPr>
      <w:proofErr w:type="spellStart"/>
      <w:proofErr w:type="gramStart"/>
      <w:r w:rsidRPr="005E0373">
        <w:rPr>
          <w:rFonts w:ascii="Times New Roman" w:hAnsi="Times New Roman"/>
          <w:sz w:val="24"/>
          <w:szCs w:val="24"/>
        </w:rPr>
        <w:t>Applebaum</w:t>
      </w:r>
      <w:proofErr w:type="spellEnd"/>
      <w:r w:rsidRPr="005E0373">
        <w:rPr>
          <w:rFonts w:ascii="Times New Roman" w:hAnsi="Times New Roman"/>
          <w:sz w:val="24"/>
          <w:szCs w:val="24"/>
        </w:rPr>
        <w:t>, E. L., &amp;</w:t>
      </w:r>
      <w:proofErr w:type="spellStart"/>
      <w:r w:rsidRPr="005E0373">
        <w:rPr>
          <w:rFonts w:ascii="Times New Roman" w:hAnsi="Times New Roman"/>
          <w:sz w:val="24"/>
          <w:szCs w:val="24"/>
        </w:rPr>
        <w:t>Clemis</w:t>
      </w:r>
      <w:proofErr w:type="spellEnd"/>
      <w:r w:rsidRPr="005E0373">
        <w:rPr>
          <w:rFonts w:ascii="Times New Roman" w:hAnsi="Times New Roman"/>
          <w:sz w:val="24"/>
          <w:szCs w:val="24"/>
        </w:rPr>
        <w:t>, J. D. (1977).Temporal bone histopathology of Paget's disease with sensorineural hearing loss and narrowing of the internal auditory canal.</w:t>
      </w:r>
      <w:proofErr w:type="gramEnd"/>
      <w:r w:rsidRPr="005E0373">
        <w:rPr>
          <w:rFonts w:ascii="Times New Roman" w:hAnsi="Times New Roman"/>
          <w:sz w:val="24"/>
          <w:szCs w:val="24"/>
        </w:rPr>
        <w:t xml:space="preserve"> The Laryngoscope, 87(10), 1753-1759.</w:t>
      </w:r>
    </w:p>
    <w:p w:rsidR="005E0373" w:rsidRPr="005E0373" w:rsidRDefault="005E0373" w:rsidP="005E0373">
      <w:pPr>
        <w:autoSpaceDE w:val="0"/>
        <w:autoSpaceDN w:val="0"/>
        <w:adjustRightInd w:val="0"/>
        <w:spacing w:line="480" w:lineRule="auto"/>
        <w:ind w:left="720" w:hanging="720"/>
        <w:jc w:val="both"/>
        <w:rPr>
          <w:rFonts w:ascii="Times New Roman" w:hAnsi="Times New Roman"/>
          <w:sz w:val="24"/>
          <w:szCs w:val="24"/>
        </w:rPr>
      </w:pPr>
      <w:proofErr w:type="spellStart"/>
      <w:proofErr w:type="gramStart"/>
      <w:r w:rsidRPr="005E0373">
        <w:rPr>
          <w:rFonts w:ascii="Times New Roman" w:hAnsi="Times New Roman"/>
          <w:sz w:val="24"/>
          <w:szCs w:val="24"/>
        </w:rPr>
        <w:t>Baraff</w:t>
      </w:r>
      <w:proofErr w:type="spellEnd"/>
      <w:r w:rsidRPr="005E0373">
        <w:rPr>
          <w:rFonts w:ascii="Times New Roman" w:hAnsi="Times New Roman"/>
          <w:sz w:val="24"/>
          <w:szCs w:val="24"/>
        </w:rPr>
        <w:t xml:space="preserve">, L. J., Della </w:t>
      </w:r>
      <w:proofErr w:type="spellStart"/>
      <w:r w:rsidRPr="005E0373">
        <w:rPr>
          <w:rFonts w:ascii="Times New Roman" w:hAnsi="Times New Roman"/>
          <w:sz w:val="24"/>
          <w:szCs w:val="24"/>
        </w:rPr>
        <w:t>Penna</w:t>
      </w:r>
      <w:proofErr w:type="spellEnd"/>
      <w:r w:rsidRPr="005E0373">
        <w:rPr>
          <w:rFonts w:ascii="Times New Roman" w:hAnsi="Times New Roman"/>
          <w:sz w:val="24"/>
          <w:szCs w:val="24"/>
        </w:rPr>
        <w:t>, R., Williams, N., &amp; Sanders, A. (1997).</w:t>
      </w:r>
      <w:proofErr w:type="gramEnd"/>
      <w:r w:rsidRPr="005E0373">
        <w:rPr>
          <w:rFonts w:ascii="Times New Roman" w:hAnsi="Times New Roman"/>
          <w:sz w:val="24"/>
          <w:szCs w:val="24"/>
        </w:rPr>
        <w:t xml:space="preserve"> Practice guideline for the ED management of falls in community-dwelling elderly persons. </w:t>
      </w:r>
      <w:proofErr w:type="gramStart"/>
      <w:r w:rsidRPr="005E0373">
        <w:rPr>
          <w:rFonts w:ascii="Times New Roman" w:hAnsi="Times New Roman"/>
          <w:sz w:val="24"/>
          <w:szCs w:val="24"/>
        </w:rPr>
        <w:t>Annals of emergency medicine, 30(4), 480-492.</w:t>
      </w:r>
      <w:proofErr w:type="gramEnd"/>
    </w:p>
    <w:p w:rsidR="005E0373" w:rsidRPr="005E0373" w:rsidRDefault="005E0373" w:rsidP="005E0373">
      <w:pPr>
        <w:autoSpaceDE w:val="0"/>
        <w:autoSpaceDN w:val="0"/>
        <w:adjustRightInd w:val="0"/>
        <w:spacing w:line="480" w:lineRule="auto"/>
        <w:ind w:left="720" w:hanging="720"/>
        <w:jc w:val="both"/>
        <w:rPr>
          <w:rFonts w:ascii="Times New Roman" w:hAnsi="Times New Roman"/>
          <w:sz w:val="24"/>
          <w:szCs w:val="24"/>
        </w:rPr>
      </w:pPr>
      <w:r w:rsidRPr="005E0373">
        <w:rPr>
          <w:rFonts w:ascii="Times New Roman" w:hAnsi="Times New Roman"/>
          <w:sz w:val="24"/>
          <w:szCs w:val="24"/>
        </w:rPr>
        <w:t>Chan, D. K., &amp;</w:t>
      </w:r>
      <w:proofErr w:type="spellStart"/>
      <w:r w:rsidRPr="005E0373">
        <w:rPr>
          <w:rFonts w:ascii="Times New Roman" w:hAnsi="Times New Roman"/>
          <w:sz w:val="24"/>
          <w:szCs w:val="24"/>
        </w:rPr>
        <w:t>Hudspeth</w:t>
      </w:r>
      <w:proofErr w:type="spellEnd"/>
      <w:r w:rsidRPr="005E0373">
        <w:rPr>
          <w:rFonts w:ascii="Times New Roman" w:hAnsi="Times New Roman"/>
          <w:sz w:val="24"/>
          <w:szCs w:val="24"/>
        </w:rPr>
        <w:t xml:space="preserve">, A. J. (2005). </w:t>
      </w:r>
      <w:proofErr w:type="gramStart"/>
      <w:r w:rsidRPr="005E0373">
        <w:rPr>
          <w:rFonts w:ascii="Times New Roman" w:hAnsi="Times New Roman"/>
          <w:sz w:val="24"/>
          <w:szCs w:val="24"/>
        </w:rPr>
        <w:t xml:space="preserve">Ca2+ current–driven nonlinear amplification by the mammalian cochlea in </w:t>
      </w:r>
      <w:proofErr w:type="spellStart"/>
      <w:r w:rsidRPr="005E0373">
        <w:rPr>
          <w:rFonts w:ascii="Times New Roman" w:hAnsi="Times New Roman"/>
          <w:sz w:val="24"/>
          <w:szCs w:val="24"/>
        </w:rPr>
        <w:t>vitro.Nature</w:t>
      </w:r>
      <w:proofErr w:type="spellEnd"/>
      <w:r w:rsidRPr="005E0373">
        <w:rPr>
          <w:rFonts w:ascii="Times New Roman" w:hAnsi="Times New Roman"/>
          <w:sz w:val="24"/>
          <w:szCs w:val="24"/>
        </w:rPr>
        <w:t xml:space="preserve"> neuroscience, 8(2), 149-155.</w:t>
      </w:r>
      <w:proofErr w:type="gramEnd"/>
    </w:p>
    <w:p w:rsidR="005E0373" w:rsidRPr="005E0373" w:rsidRDefault="005E0373" w:rsidP="005E0373">
      <w:pPr>
        <w:autoSpaceDE w:val="0"/>
        <w:autoSpaceDN w:val="0"/>
        <w:adjustRightInd w:val="0"/>
        <w:spacing w:line="480" w:lineRule="auto"/>
        <w:ind w:left="720" w:hanging="720"/>
        <w:jc w:val="both"/>
        <w:rPr>
          <w:rFonts w:ascii="Times New Roman" w:hAnsi="Times New Roman"/>
          <w:sz w:val="24"/>
          <w:szCs w:val="24"/>
        </w:rPr>
      </w:pPr>
      <w:r w:rsidRPr="005E0373">
        <w:rPr>
          <w:rFonts w:ascii="Times New Roman" w:hAnsi="Times New Roman"/>
          <w:sz w:val="24"/>
          <w:szCs w:val="24"/>
        </w:rPr>
        <w:t>Colebatch, J. G., &amp;</w:t>
      </w:r>
      <w:proofErr w:type="spellStart"/>
      <w:r w:rsidRPr="005E0373">
        <w:rPr>
          <w:rFonts w:ascii="Times New Roman" w:hAnsi="Times New Roman"/>
          <w:sz w:val="24"/>
          <w:szCs w:val="24"/>
        </w:rPr>
        <w:t>Halmagyi</w:t>
      </w:r>
      <w:proofErr w:type="spellEnd"/>
      <w:r w:rsidRPr="005E0373">
        <w:rPr>
          <w:rFonts w:ascii="Times New Roman" w:hAnsi="Times New Roman"/>
          <w:sz w:val="24"/>
          <w:szCs w:val="24"/>
        </w:rPr>
        <w:t xml:space="preserve">, G. M. (1992).Vestibular evoked potentials in human neck muscles before and after unilateral vestibular </w:t>
      </w:r>
      <w:proofErr w:type="spellStart"/>
      <w:r w:rsidRPr="005E0373">
        <w:rPr>
          <w:rFonts w:ascii="Times New Roman" w:hAnsi="Times New Roman"/>
          <w:sz w:val="24"/>
          <w:szCs w:val="24"/>
        </w:rPr>
        <w:t>deafferentation.Neurology</w:t>
      </w:r>
      <w:proofErr w:type="spellEnd"/>
      <w:r w:rsidRPr="005E0373">
        <w:rPr>
          <w:rFonts w:ascii="Times New Roman" w:hAnsi="Times New Roman"/>
          <w:sz w:val="24"/>
          <w:szCs w:val="24"/>
        </w:rPr>
        <w:t>, 42(8), 1635-1635.</w:t>
      </w:r>
    </w:p>
    <w:p w:rsidR="005E0373" w:rsidRPr="005E0373" w:rsidRDefault="005E0373" w:rsidP="005E0373">
      <w:pPr>
        <w:autoSpaceDE w:val="0"/>
        <w:autoSpaceDN w:val="0"/>
        <w:adjustRightInd w:val="0"/>
        <w:spacing w:line="480" w:lineRule="auto"/>
        <w:ind w:left="720" w:hanging="720"/>
        <w:jc w:val="both"/>
        <w:rPr>
          <w:rFonts w:ascii="Times New Roman" w:hAnsi="Times New Roman"/>
          <w:sz w:val="24"/>
          <w:szCs w:val="24"/>
        </w:rPr>
      </w:pPr>
      <w:proofErr w:type="spellStart"/>
      <w:r w:rsidRPr="005E0373">
        <w:rPr>
          <w:rFonts w:ascii="Times New Roman" w:hAnsi="Times New Roman"/>
          <w:sz w:val="24"/>
          <w:szCs w:val="24"/>
        </w:rPr>
        <w:lastRenderedPageBreak/>
        <w:t>Curthoys</w:t>
      </w:r>
      <w:proofErr w:type="spellEnd"/>
      <w:r w:rsidRPr="005E0373">
        <w:rPr>
          <w:rFonts w:ascii="Times New Roman" w:hAnsi="Times New Roman"/>
          <w:sz w:val="24"/>
          <w:szCs w:val="24"/>
        </w:rPr>
        <w:t xml:space="preserve">, I. S., Iwasaki, S., </w:t>
      </w:r>
      <w:proofErr w:type="spellStart"/>
      <w:r w:rsidRPr="005E0373">
        <w:rPr>
          <w:rFonts w:ascii="Times New Roman" w:hAnsi="Times New Roman"/>
          <w:sz w:val="24"/>
          <w:szCs w:val="24"/>
        </w:rPr>
        <w:t>Chihara</w:t>
      </w:r>
      <w:proofErr w:type="spellEnd"/>
      <w:r w:rsidRPr="005E0373">
        <w:rPr>
          <w:rFonts w:ascii="Times New Roman" w:hAnsi="Times New Roman"/>
          <w:sz w:val="24"/>
          <w:szCs w:val="24"/>
        </w:rPr>
        <w:t xml:space="preserve">, Y., Ushio, M., </w:t>
      </w:r>
      <w:proofErr w:type="spellStart"/>
      <w:r w:rsidRPr="005E0373">
        <w:rPr>
          <w:rFonts w:ascii="Times New Roman" w:hAnsi="Times New Roman"/>
          <w:sz w:val="24"/>
          <w:szCs w:val="24"/>
        </w:rPr>
        <w:t>McGarvie</w:t>
      </w:r>
      <w:proofErr w:type="spellEnd"/>
      <w:r w:rsidRPr="005E0373">
        <w:rPr>
          <w:rFonts w:ascii="Times New Roman" w:hAnsi="Times New Roman"/>
          <w:sz w:val="24"/>
          <w:szCs w:val="24"/>
        </w:rPr>
        <w:t xml:space="preserve">, L. A., &amp; Burgess, A. M. (2011). </w:t>
      </w:r>
      <w:proofErr w:type="gramStart"/>
      <w:r w:rsidRPr="005E0373">
        <w:rPr>
          <w:rFonts w:ascii="Times New Roman" w:hAnsi="Times New Roman"/>
          <w:sz w:val="24"/>
          <w:szCs w:val="24"/>
        </w:rPr>
        <w:t>The ocular vestibular-evoked myogenic potential to air-conducted sound; probable superior vestibular nerve origin.</w:t>
      </w:r>
      <w:proofErr w:type="gramEnd"/>
      <w:r w:rsidRPr="005E0373">
        <w:rPr>
          <w:rFonts w:ascii="Times New Roman" w:hAnsi="Times New Roman"/>
          <w:sz w:val="24"/>
          <w:szCs w:val="24"/>
        </w:rPr>
        <w:t xml:space="preserve"> Clinical Neurophysiology, 122(3), 611-616.</w:t>
      </w:r>
    </w:p>
    <w:p w:rsidR="005E0373" w:rsidRPr="005E0373" w:rsidRDefault="005E0373" w:rsidP="005E0373">
      <w:pPr>
        <w:autoSpaceDE w:val="0"/>
        <w:autoSpaceDN w:val="0"/>
        <w:adjustRightInd w:val="0"/>
        <w:spacing w:line="480" w:lineRule="auto"/>
        <w:ind w:left="720" w:hanging="720"/>
        <w:jc w:val="both"/>
        <w:rPr>
          <w:rFonts w:ascii="Times New Roman" w:hAnsi="Times New Roman"/>
          <w:sz w:val="24"/>
          <w:szCs w:val="24"/>
        </w:rPr>
      </w:pPr>
      <w:proofErr w:type="gramStart"/>
      <w:r w:rsidRPr="005E0373">
        <w:rPr>
          <w:rFonts w:ascii="Times New Roman" w:hAnsi="Times New Roman"/>
          <w:sz w:val="24"/>
          <w:szCs w:val="24"/>
        </w:rPr>
        <w:t>Davies, D. G. (1968).</w:t>
      </w:r>
      <w:proofErr w:type="spellStart"/>
      <w:r w:rsidRPr="005E0373">
        <w:rPr>
          <w:rFonts w:ascii="Times New Roman" w:hAnsi="Times New Roman"/>
          <w:sz w:val="24"/>
          <w:szCs w:val="24"/>
        </w:rPr>
        <w:t>Malleus</w:t>
      </w:r>
      <w:proofErr w:type="spellEnd"/>
      <w:r w:rsidRPr="005E0373">
        <w:rPr>
          <w:rFonts w:ascii="Times New Roman" w:hAnsi="Times New Roman"/>
          <w:sz w:val="24"/>
          <w:szCs w:val="24"/>
        </w:rPr>
        <w:t xml:space="preserve"> fixation.</w:t>
      </w:r>
      <w:proofErr w:type="gramEnd"/>
      <w:r w:rsidRPr="005E0373">
        <w:rPr>
          <w:rFonts w:ascii="Times New Roman" w:hAnsi="Times New Roman"/>
          <w:sz w:val="24"/>
          <w:szCs w:val="24"/>
        </w:rPr>
        <w:t xml:space="preserve"> The Journal of </w:t>
      </w:r>
      <w:proofErr w:type="spellStart"/>
      <w:r w:rsidRPr="005E0373">
        <w:rPr>
          <w:rFonts w:ascii="Times New Roman" w:hAnsi="Times New Roman"/>
          <w:sz w:val="24"/>
          <w:szCs w:val="24"/>
        </w:rPr>
        <w:t>Laryngology</w:t>
      </w:r>
      <w:proofErr w:type="spellEnd"/>
      <w:r w:rsidRPr="005E0373">
        <w:rPr>
          <w:rFonts w:ascii="Times New Roman" w:hAnsi="Times New Roman"/>
          <w:sz w:val="24"/>
          <w:szCs w:val="24"/>
        </w:rPr>
        <w:t xml:space="preserve"> &amp; Otology, 82(04), 331-351.</w:t>
      </w:r>
    </w:p>
    <w:p w:rsidR="005E0373" w:rsidRPr="005E0373" w:rsidRDefault="005E0373" w:rsidP="005E0373">
      <w:pPr>
        <w:autoSpaceDE w:val="0"/>
        <w:autoSpaceDN w:val="0"/>
        <w:adjustRightInd w:val="0"/>
        <w:spacing w:line="480" w:lineRule="auto"/>
        <w:ind w:left="720" w:hanging="720"/>
        <w:jc w:val="both"/>
        <w:rPr>
          <w:rFonts w:ascii="Times New Roman" w:hAnsi="Times New Roman"/>
          <w:sz w:val="24"/>
          <w:szCs w:val="24"/>
        </w:rPr>
      </w:pPr>
      <w:proofErr w:type="spellStart"/>
      <w:r w:rsidRPr="005E0373">
        <w:rPr>
          <w:rFonts w:ascii="Times New Roman" w:hAnsi="Times New Roman"/>
          <w:sz w:val="24"/>
          <w:szCs w:val="24"/>
        </w:rPr>
        <w:t>Eatock</w:t>
      </w:r>
      <w:proofErr w:type="spellEnd"/>
      <w:r w:rsidRPr="005E0373">
        <w:rPr>
          <w:rFonts w:ascii="Times New Roman" w:hAnsi="Times New Roman"/>
          <w:sz w:val="24"/>
          <w:szCs w:val="24"/>
        </w:rPr>
        <w:t>, R. A., Corey, D. P., &amp;</w:t>
      </w:r>
      <w:proofErr w:type="spellStart"/>
      <w:r w:rsidRPr="005E0373">
        <w:rPr>
          <w:rFonts w:ascii="Times New Roman" w:hAnsi="Times New Roman"/>
          <w:sz w:val="24"/>
          <w:szCs w:val="24"/>
        </w:rPr>
        <w:t>Hudspeth</w:t>
      </w:r>
      <w:proofErr w:type="spellEnd"/>
      <w:r w:rsidRPr="005E0373">
        <w:rPr>
          <w:rFonts w:ascii="Times New Roman" w:hAnsi="Times New Roman"/>
          <w:sz w:val="24"/>
          <w:szCs w:val="24"/>
        </w:rPr>
        <w:t xml:space="preserve">, A. J. (1987).Adaptation of </w:t>
      </w:r>
      <w:proofErr w:type="spellStart"/>
      <w:r w:rsidRPr="005E0373">
        <w:rPr>
          <w:rFonts w:ascii="Times New Roman" w:hAnsi="Times New Roman"/>
          <w:sz w:val="24"/>
          <w:szCs w:val="24"/>
        </w:rPr>
        <w:t>mechanoelectrical</w:t>
      </w:r>
      <w:proofErr w:type="spellEnd"/>
      <w:r w:rsidRPr="005E0373">
        <w:rPr>
          <w:rFonts w:ascii="Times New Roman" w:hAnsi="Times New Roman"/>
          <w:sz w:val="24"/>
          <w:szCs w:val="24"/>
        </w:rPr>
        <w:t xml:space="preserve"> transduction in hair cells of the bullfrog's </w:t>
      </w:r>
      <w:proofErr w:type="spellStart"/>
      <w:r w:rsidRPr="005E0373">
        <w:rPr>
          <w:rFonts w:ascii="Times New Roman" w:hAnsi="Times New Roman"/>
          <w:sz w:val="24"/>
          <w:szCs w:val="24"/>
        </w:rPr>
        <w:t>sacculus.The</w:t>
      </w:r>
      <w:proofErr w:type="spellEnd"/>
      <w:r w:rsidRPr="005E0373">
        <w:rPr>
          <w:rFonts w:ascii="Times New Roman" w:hAnsi="Times New Roman"/>
          <w:sz w:val="24"/>
          <w:szCs w:val="24"/>
        </w:rPr>
        <w:t xml:space="preserve"> Journal of neuroscience, 7(9), 2821-2836.</w:t>
      </w:r>
    </w:p>
    <w:p w:rsidR="005E0373" w:rsidRPr="005E0373" w:rsidRDefault="005E0373" w:rsidP="005E0373">
      <w:pPr>
        <w:autoSpaceDE w:val="0"/>
        <w:autoSpaceDN w:val="0"/>
        <w:adjustRightInd w:val="0"/>
        <w:spacing w:line="480" w:lineRule="auto"/>
        <w:ind w:left="720" w:hanging="720"/>
        <w:jc w:val="both"/>
        <w:rPr>
          <w:rFonts w:ascii="Times New Roman" w:hAnsi="Times New Roman"/>
          <w:sz w:val="24"/>
          <w:szCs w:val="24"/>
        </w:rPr>
      </w:pPr>
      <w:proofErr w:type="spellStart"/>
      <w:proofErr w:type="gramStart"/>
      <w:r w:rsidRPr="005E0373">
        <w:rPr>
          <w:rFonts w:ascii="Times New Roman" w:hAnsi="Times New Roman"/>
          <w:sz w:val="24"/>
          <w:szCs w:val="24"/>
        </w:rPr>
        <w:t>Gargeshwari</w:t>
      </w:r>
      <w:proofErr w:type="spellEnd"/>
      <w:r w:rsidRPr="005E0373">
        <w:rPr>
          <w:rFonts w:ascii="Times New Roman" w:hAnsi="Times New Roman"/>
          <w:sz w:val="24"/>
          <w:szCs w:val="24"/>
        </w:rPr>
        <w:t xml:space="preserve">, A., </w:t>
      </w:r>
      <w:proofErr w:type="spellStart"/>
      <w:r w:rsidRPr="005E0373">
        <w:rPr>
          <w:rFonts w:ascii="Times New Roman" w:hAnsi="Times New Roman"/>
          <w:sz w:val="24"/>
          <w:szCs w:val="24"/>
        </w:rPr>
        <w:t>Jha</w:t>
      </w:r>
      <w:proofErr w:type="spellEnd"/>
      <w:r w:rsidRPr="005E0373">
        <w:rPr>
          <w:rFonts w:ascii="Times New Roman" w:hAnsi="Times New Roman"/>
          <w:sz w:val="24"/>
          <w:szCs w:val="24"/>
        </w:rPr>
        <w:t>, R., &amp; Singh, N. K. (2016).</w:t>
      </w:r>
      <w:proofErr w:type="gramEnd"/>
      <w:r w:rsidRPr="005E0373">
        <w:rPr>
          <w:rFonts w:ascii="Times New Roman" w:hAnsi="Times New Roman"/>
          <w:sz w:val="24"/>
          <w:szCs w:val="24"/>
        </w:rPr>
        <w:t xml:space="preserve"> </w:t>
      </w:r>
      <w:proofErr w:type="gramStart"/>
      <w:r w:rsidRPr="005E0373">
        <w:rPr>
          <w:rFonts w:ascii="Times New Roman" w:hAnsi="Times New Roman"/>
          <w:sz w:val="24"/>
          <w:szCs w:val="24"/>
        </w:rPr>
        <w:t xml:space="preserve">Behavioural and Objective vestibular assessment in persons with osteoporosis and </w:t>
      </w:r>
      <w:proofErr w:type="spellStart"/>
      <w:r w:rsidRPr="005E0373">
        <w:rPr>
          <w:rFonts w:ascii="Times New Roman" w:hAnsi="Times New Roman"/>
          <w:sz w:val="24"/>
          <w:szCs w:val="24"/>
        </w:rPr>
        <w:t>osteopenia</w:t>
      </w:r>
      <w:proofErr w:type="spellEnd"/>
      <w:r w:rsidRPr="005E0373">
        <w:rPr>
          <w:rFonts w:ascii="Times New Roman" w:hAnsi="Times New Roman"/>
          <w:sz w:val="24"/>
          <w:szCs w:val="24"/>
        </w:rPr>
        <w:t>.</w:t>
      </w:r>
      <w:proofErr w:type="gramEnd"/>
      <w:r w:rsidRPr="005E0373">
        <w:rPr>
          <w:rFonts w:ascii="Times New Roman" w:hAnsi="Times New Roman"/>
          <w:sz w:val="24"/>
          <w:szCs w:val="24"/>
        </w:rPr>
        <w:t xml:space="preserve"> Scientific paper presented at the 48th Annual Convention of the Indian Speech and Hearing Association held on 6 – 8 February, 2016 at Mumbai, India.</w:t>
      </w:r>
    </w:p>
    <w:p w:rsidR="005E0373" w:rsidRPr="005E0373" w:rsidRDefault="005E0373" w:rsidP="005E0373">
      <w:pPr>
        <w:autoSpaceDE w:val="0"/>
        <w:autoSpaceDN w:val="0"/>
        <w:adjustRightInd w:val="0"/>
        <w:spacing w:line="480" w:lineRule="auto"/>
        <w:ind w:left="720" w:hanging="720"/>
        <w:jc w:val="both"/>
        <w:rPr>
          <w:rFonts w:ascii="Times New Roman" w:hAnsi="Times New Roman"/>
          <w:sz w:val="24"/>
          <w:szCs w:val="24"/>
        </w:rPr>
      </w:pPr>
      <w:proofErr w:type="spellStart"/>
      <w:proofErr w:type="gramStart"/>
      <w:r w:rsidRPr="005E0373">
        <w:rPr>
          <w:rFonts w:ascii="Times New Roman" w:hAnsi="Times New Roman"/>
          <w:sz w:val="24"/>
          <w:szCs w:val="24"/>
        </w:rPr>
        <w:t>Hacohen</w:t>
      </w:r>
      <w:proofErr w:type="spellEnd"/>
      <w:r w:rsidRPr="005E0373">
        <w:rPr>
          <w:rFonts w:ascii="Times New Roman" w:hAnsi="Times New Roman"/>
          <w:sz w:val="24"/>
          <w:szCs w:val="24"/>
        </w:rPr>
        <w:t>, N., Assad, J. A., Smith, W. J., &amp; Corey, D. P. (1989).</w:t>
      </w:r>
      <w:proofErr w:type="gramEnd"/>
      <w:r w:rsidRPr="005E0373">
        <w:rPr>
          <w:rFonts w:ascii="Times New Roman" w:hAnsi="Times New Roman"/>
          <w:sz w:val="24"/>
          <w:szCs w:val="24"/>
        </w:rPr>
        <w:t xml:space="preserve"> Regulation of tension on hair-cell transduction channels: displacement and calcium dependence. The Journal of Neuroscience, 9(11), 3988-3997.</w:t>
      </w:r>
    </w:p>
    <w:p w:rsidR="005E0373" w:rsidRPr="005E0373" w:rsidRDefault="005E0373" w:rsidP="005E0373">
      <w:pPr>
        <w:autoSpaceDE w:val="0"/>
        <w:autoSpaceDN w:val="0"/>
        <w:adjustRightInd w:val="0"/>
        <w:spacing w:line="480" w:lineRule="auto"/>
        <w:ind w:left="720" w:hanging="720"/>
        <w:jc w:val="both"/>
        <w:rPr>
          <w:rFonts w:ascii="Times New Roman" w:hAnsi="Times New Roman"/>
          <w:sz w:val="24"/>
          <w:szCs w:val="24"/>
        </w:rPr>
      </w:pPr>
      <w:proofErr w:type="spellStart"/>
      <w:proofErr w:type="gramStart"/>
      <w:r w:rsidRPr="005E0373">
        <w:rPr>
          <w:rFonts w:ascii="Times New Roman" w:hAnsi="Times New Roman"/>
          <w:sz w:val="24"/>
          <w:szCs w:val="24"/>
        </w:rPr>
        <w:t>Hafström</w:t>
      </w:r>
      <w:proofErr w:type="spellEnd"/>
      <w:r w:rsidRPr="005E0373">
        <w:rPr>
          <w:rFonts w:ascii="Times New Roman" w:hAnsi="Times New Roman"/>
          <w:sz w:val="24"/>
          <w:szCs w:val="24"/>
        </w:rPr>
        <w:t xml:space="preserve">, A., </w:t>
      </w:r>
      <w:proofErr w:type="spellStart"/>
      <w:r w:rsidRPr="005E0373">
        <w:rPr>
          <w:rFonts w:ascii="Times New Roman" w:hAnsi="Times New Roman"/>
          <w:sz w:val="24"/>
          <w:szCs w:val="24"/>
        </w:rPr>
        <w:t>Fransson</w:t>
      </w:r>
      <w:proofErr w:type="spellEnd"/>
      <w:r w:rsidRPr="005E0373">
        <w:rPr>
          <w:rFonts w:ascii="Times New Roman" w:hAnsi="Times New Roman"/>
          <w:sz w:val="24"/>
          <w:szCs w:val="24"/>
        </w:rPr>
        <w:t xml:space="preserve">, P. A., </w:t>
      </w:r>
      <w:proofErr w:type="spellStart"/>
      <w:r w:rsidRPr="005E0373">
        <w:rPr>
          <w:rFonts w:ascii="Times New Roman" w:hAnsi="Times New Roman"/>
          <w:sz w:val="24"/>
          <w:szCs w:val="24"/>
        </w:rPr>
        <w:t>Karlberg</w:t>
      </w:r>
      <w:proofErr w:type="spellEnd"/>
      <w:r w:rsidRPr="005E0373">
        <w:rPr>
          <w:rFonts w:ascii="Times New Roman" w:hAnsi="Times New Roman"/>
          <w:sz w:val="24"/>
          <w:szCs w:val="24"/>
        </w:rPr>
        <w:t xml:space="preserve">, M., &amp; Magnusson, M. (2004).Idiosyncratic compensation of the subjective visual horizontal and vertical in 60 patients after unilateral vestibular </w:t>
      </w:r>
      <w:proofErr w:type="spellStart"/>
      <w:r w:rsidRPr="005E0373">
        <w:rPr>
          <w:rFonts w:ascii="Times New Roman" w:hAnsi="Times New Roman"/>
          <w:sz w:val="24"/>
          <w:szCs w:val="24"/>
        </w:rPr>
        <w:t>deafferentation.Acta</w:t>
      </w:r>
      <w:proofErr w:type="spellEnd"/>
      <w:r w:rsidRPr="005E0373">
        <w:rPr>
          <w:rFonts w:ascii="Times New Roman" w:hAnsi="Times New Roman"/>
          <w:sz w:val="24"/>
          <w:szCs w:val="24"/>
        </w:rPr>
        <w:t xml:space="preserve"> </w:t>
      </w:r>
      <w:proofErr w:type="spellStart"/>
      <w:r w:rsidRPr="005E0373">
        <w:rPr>
          <w:rFonts w:ascii="Times New Roman" w:hAnsi="Times New Roman"/>
          <w:sz w:val="24"/>
          <w:szCs w:val="24"/>
        </w:rPr>
        <w:t>oto-laryngologica</w:t>
      </w:r>
      <w:proofErr w:type="spellEnd"/>
      <w:r w:rsidRPr="005E0373">
        <w:rPr>
          <w:rFonts w:ascii="Times New Roman" w:hAnsi="Times New Roman"/>
          <w:sz w:val="24"/>
          <w:szCs w:val="24"/>
        </w:rPr>
        <w:t>, 124(2), 165-171.</w:t>
      </w:r>
      <w:proofErr w:type="gramEnd"/>
    </w:p>
    <w:p w:rsidR="005E0373" w:rsidRPr="005E0373" w:rsidRDefault="005E0373" w:rsidP="005E0373">
      <w:pPr>
        <w:autoSpaceDE w:val="0"/>
        <w:autoSpaceDN w:val="0"/>
        <w:adjustRightInd w:val="0"/>
        <w:spacing w:line="480" w:lineRule="auto"/>
        <w:ind w:left="720" w:hanging="720"/>
        <w:jc w:val="both"/>
        <w:rPr>
          <w:rFonts w:ascii="Times New Roman" w:hAnsi="Times New Roman"/>
          <w:sz w:val="24"/>
          <w:szCs w:val="24"/>
        </w:rPr>
      </w:pPr>
      <w:proofErr w:type="spellStart"/>
      <w:proofErr w:type="gramStart"/>
      <w:r w:rsidRPr="005E0373">
        <w:rPr>
          <w:rFonts w:ascii="Times New Roman" w:hAnsi="Times New Roman"/>
          <w:sz w:val="24"/>
          <w:szCs w:val="24"/>
        </w:rPr>
        <w:t>Harit</w:t>
      </w:r>
      <w:proofErr w:type="spellEnd"/>
      <w:r w:rsidRPr="005E0373">
        <w:rPr>
          <w:rFonts w:ascii="Times New Roman" w:hAnsi="Times New Roman"/>
          <w:sz w:val="24"/>
          <w:szCs w:val="24"/>
        </w:rPr>
        <w:t>, P., &amp; Singh, N. K. (2012).</w:t>
      </w:r>
      <w:proofErr w:type="gramEnd"/>
      <w:r w:rsidRPr="005E0373">
        <w:rPr>
          <w:rFonts w:ascii="Times New Roman" w:hAnsi="Times New Roman"/>
          <w:sz w:val="24"/>
          <w:szCs w:val="24"/>
        </w:rPr>
        <w:t xml:space="preserve"> </w:t>
      </w:r>
      <w:proofErr w:type="gramStart"/>
      <w:r w:rsidRPr="005E0373">
        <w:rPr>
          <w:rFonts w:ascii="Times New Roman" w:hAnsi="Times New Roman"/>
          <w:sz w:val="24"/>
          <w:szCs w:val="24"/>
        </w:rPr>
        <w:t>Effect of rate, step size and surface on Fukuda stepping test in normal and in vestibular dysfunction.</w:t>
      </w:r>
      <w:proofErr w:type="gramEnd"/>
      <w:r w:rsidRPr="005E0373">
        <w:rPr>
          <w:rFonts w:ascii="Times New Roman" w:hAnsi="Times New Roman"/>
          <w:sz w:val="24"/>
          <w:szCs w:val="24"/>
        </w:rPr>
        <w:t xml:space="preserve"> Scientific paper presented at the 44th Annual Convention of the Indian Speech and Hearing Association held on 19-21 January, 2012 at Hyderabad, India.</w:t>
      </w:r>
    </w:p>
    <w:p w:rsidR="005E0373" w:rsidRPr="005E0373" w:rsidRDefault="005E0373" w:rsidP="005E0373">
      <w:pPr>
        <w:autoSpaceDE w:val="0"/>
        <w:autoSpaceDN w:val="0"/>
        <w:adjustRightInd w:val="0"/>
        <w:spacing w:line="480" w:lineRule="auto"/>
        <w:ind w:left="720" w:hanging="720"/>
        <w:jc w:val="both"/>
        <w:rPr>
          <w:rFonts w:ascii="Times New Roman" w:hAnsi="Times New Roman"/>
          <w:sz w:val="24"/>
          <w:szCs w:val="24"/>
        </w:rPr>
      </w:pPr>
      <w:r w:rsidRPr="005E0373">
        <w:rPr>
          <w:rFonts w:ascii="Times New Roman" w:hAnsi="Times New Roman"/>
          <w:sz w:val="24"/>
          <w:szCs w:val="24"/>
        </w:rPr>
        <w:lastRenderedPageBreak/>
        <w:t xml:space="preserve">Hwang, S. Y., &amp; Putney, J. W. (2011).Calcium </w:t>
      </w:r>
      <w:proofErr w:type="spellStart"/>
      <w:r w:rsidRPr="005E0373">
        <w:rPr>
          <w:rFonts w:ascii="Times New Roman" w:hAnsi="Times New Roman"/>
          <w:sz w:val="24"/>
          <w:szCs w:val="24"/>
        </w:rPr>
        <w:t>signaling</w:t>
      </w:r>
      <w:proofErr w:type="spellEnd"/>
      <w:r w:rsidRPr="005E0373">
        <w:rPr>
          <w:rFonts w:ascii="Times New Roman" w:hAnsi="Times New Roman"/>
          <w:sz w:val="24"/>
          <w:szCs w:val="24"/>
        </w:rPr>
        <w:t xml:space="preserve"> in </w:t>
      </w:r>
      <w:proofErr w:type="spellStart"/>
      <w:r w:rsidRPr="005E0373">
        <w:rPr>
          <w:rFonts w:ascii="Times New Roman" w:hAnsi="Times New Roman"/>
          <w:sz w:val="24"/>
          <w:szCs w:val="24"/>
        </w:rPr>
        <w:t>osteoclasts.BiochimicaetBiophysicaActa</w:t>
      </w:r>
      <w:proofErr w:type="spellEnd"/>
      <w:r w:rsidRPr="005E0373">
        <w:rPr>
          <w:rFonts w:ascii="Times New Roman" w:hAnsi="Times New Roman"/>
          <w:sz w:val="24"/>
          <w:szCs w:val="24"/>
        </w:rPr>
        <w:t xml:space="preserve"> (BBA)-Molecular Cell Research, 1813(5), 979-983.</w:t>
      </w:r>
    </w:p>
    <w:p w:rsidR="005E0373" w:rsidRPr="005E0373" w:rsidRDefault="005E0373" w:rsidP="005E0373">
      <w:pPr>
        <w:autoSpaceDE w:val="0"/>
        <w:autoSpaceDN w:val="0"/>
        <w:adjustRightInd w:val="0"/>
        <w:spacing w:line="480" w:lineRule="auto"/>
        <w:ind w:left="720" w:hanging="720"/>
        <w:jc w:val="both"/>
        <w:rPr>
          <w:rFonts w:ascii="Times New Roman" w:hAnsi="Times New Roman"/>
          <w:sz w:val="24"/>
          <w:szCs w:val="24"/>
        </w:rPr>
      </w:pPr>
      <w:proofErr w:type="gramStart"/>
      <w:r w:rsidRPr="005E0373">
        <w:rPr>
          <w:rFonts w:ascii="Times New Roman" w:hAnsi="Times New Roman"/>
          <w:sz w:val="24"/>
          <w:szCs w:val="24"/>
        </w:rPr>
        <w:t>Iofbonehealth.org [Internet].</w:t>
      </w:r>
      <w:proofErr w:type="gramEnd"/>
      <w:r w:rsidRPr="005E0373">
        <w:rPr>
          <w:rFonts w:ascii="Times New Roman" w:hAnsi="Times New Roman"/>
          <w:sz w:val="24"/>
          <w:szCs w:val="24"/>
        </w:rPr>
        <w:t xml:space="preserve"> International Osteoporosis Foundation [updated 2015 November 29; cited 2015 November 29]. Availab</w:t>
      </w:r>
      <w:bookmarkStart w:id="0" w:name="_GoBack"/>
      <w:bookmarkEnd w:id="0"/>
      <w:r w:rsidRPr="005E0373">
        <w:rPr>
          <w:rFonts w:ascii="Times New Roman" w:hAnsi="Times New Roman"/>
          <w:sz w:val="24"/>
          <w:szCs w:val="24"/>
        </w:rPr>
        <w:t xml:space="preserve">le from </w:t>
      </w:r>
      <w:hyperlink r:id="rId8" w:history="1">
        <w:r w:rsidRPr="005E0373">
          <w:rPr>
            <w:rFonts w:ascii="Times New Roman" w:hAnsi="Times New Roman"/>
            <w:sz w:val="24"/>
            <w:szCs w:val="24"/>
          </w:rPr>
          <w:t>http://www.iofbonehealth.org/</w:t>
        </w:r>
      </w:hyperlink>
    </w:p>
    <w:p w:rsidR="005E0373" w:rsidRPr="005E0373" w:rsidRDefault="005E0373" w:rsidP="005E0373">
      <w:pPr>
        <w:autoSpaceDE w:val="0"/>
        <w:autoSpaceDN w:val="0"/>
        <w:adjustRightInd w:val="0"/>
        <w:spacing w:line="480" w:lineRule="auto"/>
        <w:ind w:left="720" w:hanging="720"/>
        <w:jc w:val="both"/>
        <w:rPr>
          <w:rFonts w:ascii="Times New Roman" w:hAnsi="Times New Roman"/>
          <w:sz w:val="24"/>
          <w:szCs w:val="24"/>
        </w:rPr>
      </w:pPr>
      <w:proofErr w:type="spellStart"/>
      <w:proofErr w:type="gramStart"/>
      <w:r w:rsidRPr="005E0373">
        <w:rPr>
          <w:rFonts w:ascii="Times New Roman" w:hAnsi="Times New Roman"/>
          <w:sz w:val="24"/>
          <w:szCs w:val="24"/>
        </w:rPr>
        <w:t>Jha</w:t>
      </w:r>
      <w:proofErr w:type="spellEnd"/>
      <w:r w:rsidRPr="005E0373">
        <w:rPr>
          <w:rFonts w:ascii="Times New Roman" w:hAnsi="Times New Roman"/>
          <w:sz w:val="24"/>
          <w:szCs w:val="24"/>
        </w:rPr>
        <w:t xml:space="preserve">, R., </w:t>
      </w:r>
      <w:proofErr w:type="spellStart"/>
      <w:r w:rsidRPr="005E0373">
        <w:rPr>
          <w:rFonts w:ascii="Times New Roman" w:hAnsi="Times New Roman"/>
          <w:sz w:val="24"/>
          <w:szCs w:val="24"/>
        </w:rPr>
        <w:t>Gargeshwari</w:t>
      </w:r>
      <w:proofErr w:type="spellEnd"/>
      <w:r w:rsidRPr="005E0373">
        <w:rPr>
          <w:rFonts w:ascii="Times New Roman" w:hAnsi="Times New Roman"/>
          <w:sz w:val="24"/>
          <w:szCs w:val="24"/>
        </w:rPr>
        <w:t>, A., &amp; Singh, N. K. (2016).</w:t>
      </w:r>
      <w:proofErr w:type="gramEnd"/>
      <w:r w:rsidRPr="005E0373">
        <w:rPr>
          <w:rFonts w:ascii="Times New Roman" w:hAnsi="Times New Roman"/>
          <w:sz w:val="24"/>
          <w:szCs w:val="24"/>
        </w:rPr>
        <w:t xml:space="preserve"> </w:t>
      </w:r>
      <w:proofErr w:type="gramStart"/>
      <w:r w:rsidRPr="005E0373">
        <w:rPr>
          <w:rFonts w:ascii="Times New Roman" w:hAnsi="Times New Roman"/>
          <w:sz w:val="24"/>
          <w:szCs w:val="24"/>
        </w:rPr>
        <w:t>Effect of lowered bone mineral density on the outcomes of audiological tests.</w:t>
      </w:r>
      <w:proofErr w:type="gramEnd"/>
      <w:r w:rsidRPr="005E0373">
        <w:rPr>
          <w:rFonts w:ascii="Times New Roman" w:hAnsi="Times New Roman"/>
          <w:sz w:val="24"/>
          <w:szCs w:val="24"/>
        </w:rPr>
        <w:t xml:space="preserve">  Scientific paper presented at the 48th Annual Convention of the Indian Speech and Hearing Association held on 6 – 8 February, 2016 at Mumbai, India.</w:t>
      </w:r>
    </w:p>
    <w:p w:rsidR="005E0373" w:rsidRPr="005E0373" w:rsidRDefault="005E0373" w:rsidP="005E0373">
      <w:pPr>
        <w:autoSpaceDE w:val="0"/>
        <w:autoSpaceDN w:val="0"/>
        <w:adjustRightInd w:val="0"/>
        <w:spacing w:line="480" w:lineRule="auto"/>
        <w:ind w:left="720" w:hanging="720"/>
        <w:jc w:val="both"/>
        <w:rPr>
          <w:rFonts w:ascii="Times New Roman" w:hAnsi="Times New Roman"/>
          <w:sz w:val="24"/>
          <w:szCs w:val="24"/>
        </w:rPr>
      </w:pPr>
      <w:proofErr w:type="spellStart"/>
      <w:proofErr w:type="gramStart"/>
      <w:r w:rsidRPr="005E0373">
        <w:rPr>
          <w:rFonts w:ascii="Times New Roman" w:hAnsi="Times New Roman"/>
          <w:sz w:val="24"/>
          <w:szCs w:val="24"/>
        </w:rPr>
        <w:t>Kahveci</w:t>
      </w:r>
      <w:proofErr w:type="spellEnd"/>
      <w:r w:rsidRPr="005E0373">
        <w:rPr>
          <w:rFonts w:ascii="Times New Roman" w:hAnsi="Times New Roman"/>
          <w:sz w:val="24"/>
          <w:szCs w:val="24"/>
        </w:rPr>
        <w:t xml:space="preserve">, O. K., </w:t>
      </w:r>
      <w:proofErr w:type="spellStart"/>
      <w:r w:rsidRPr="005E0373">
        <w:rPr>
          <w:rFonts w:ascii="Times New Roman" w:hAnsi="Times New Roman"/>
          <w:sz w:val="24"/>
          <w:szCs w:val="24"/>
        </w:rPr>
        <w:t>Demirdal</w:t>
      </w:r>
      <w:proofErr w:type="spellEnd"/>
      <w:r w:rsidRPr="005E0373">
        <w:rPr>
          <w:rFonts w:ascii="Times New Roman" w:hAnsi="Times New Roman"/>
          <w:sz w:val="24"/>
          <w:szCs w:val="24"/>
        </w:rPr>
        <w:t xml:space="preserve">, U. S., </w:t>
      </w:r>
      <w:proofErr w:type="spellStart"/>
      <w:r w:rsidRPr="005E0373">
        <w:rPr>
          <w:rFonts w:ascii="Times New Roman" w:hAnsi="Times New Roman"/>
          <w:sz w:val="24"/>
          <w:szCs w:val="24"/>
        </w:rPr>
        <w:t>Yücedag</w:t>
      </w:r>
      <w:proofErr w:type="spellEnd"/>
      <w:r w:rsidRPr="005E0373">
        <w:rPr>
          <w:rFonts w:ascii="Times New Roman" w:hAnsi="Times New Roman"/>
          <w:sz w:val="24"/>
          <w:szCs w:val="24"/>
        </w:rPr>
        <w:t>, F., &amp; Cerci, U. (2014).</w:t>
      </w:r>
      <w:proofErr w:type="gramEnd"/>
      <w:r w:rsidRPr="005E0373">
        <w:rPr>
          <w:rFonts w:ascii="Times New Roman" w:hAnsi="Times New Roman"/>
          <w:sz w:val="24"/>
          <w:szCs w:val="24"/>
        </w:rPr>
        <w:t xml:space="preserve"> Patients with osteoporosis have higher incidence of sensorineural hearing loss. Clinical Otolaryngology, 39(3), 145-149.</w:t>
      </w:r>
    </w:p>
    <w:p w:rsidR="005E0373" w:rsidRPr="005E0373" w:rsidRDefault="005E0373" w:rsidP="005E0373">
      <w:pPr>
        <w:autoSpaceDE w:val="0"/>
        <w:autoSpaceDN w:val="0"/>
        <w:adjustRightInd w:val="0"/>
        <w:spacing w:line="480" w:lineRule="auto"/>
        <w:ind w:left="720" w:hanging="720"/>
        <w:jc w:val="both"/>
        <w:rPr>
          <w:rFonts w:ascii="Times New Roman" w:hAnsi="Times New Roman"/>
          <w:sz w:val="24"/>
          <w:szCs w:val="24"/>
        </w:rPr>
      </w:pPr>
      <w:proofErr w:type="spellStart"/>
      <w:proofErr w:type="gramStart"/>
      <w:r w:rsidRPr="005E0373">
        <w:rPr>
          <w:rFonts w:ascii="Times New Roman" w:hAnsi="Times New Roman"/>
          <w:sz w:val="24"/>
          <w:szCs w:val="24"/>
        </w:rPr>
        <w:t>Kanzaki</w:t>
      </w:r>
      <w:proofErr w:type="spellEnd"/>
      <w:r w:rsidRPr="005E0373">
        <w:rPr>
          <w:rFonts w:ascii="Times New Roman" w:hAnsi="Times New Roman"/>
          <w:sz w:val="24"/>
          <w:szCs w:val="24"/>
        </w:rPr>
        <w:t>, S., Ito, M., Takada, Y., Ogawa, K., &amp; Matsuo, K. (2006).</w:t>
      </w:r>
      <w:proofErr w:type="spellStart"/>
      <w:r w:rsidRPr="005E0373">
        <w:rPr>
          <w:rFonts w:ascii="Times New Roman" w:hAnsi="Times New Roman"/>
          <w:sz w:val="24"/>
          <w:szCs w:val="24"/>
        </w:rPr>
        <w:t>Resorption</w:t>
      </w:r>
      <w:proofErr w:type="spellEnd"/>
      <w:r w:rsidRPr="005E0373">
        <w:rPr>
          <w:rFonts w:ascii="Times New Roman" w:hAnsi="Times New Roman"/>
          <w:sz w:val="24"/>
          <w:szCs w:val="24"/>
        </w:rPr>
        <w:t xml:space="preserve"> of auditory </w:t>
      </w:r>
      <w:proofErr w:type="spellStart"/>
      <w:r w:rsidRPr="005E0373">
        <w:rPr>
          <w:rFonts w:ascii="Times New Roman" w:hAnsi="Times New Roman"/>
          <w:sz w:val="24"/>
          <w:szCs w:val="24"/>
        </w:rPr>
        <w:t>ossicles</w:t>
      </w:r>
      <w:proofErr w:type="spellEnd"/>
      <w:r w:rsidRPr="005E0373">
        <w:rPr>
          <w:rFonts w:ascii="Times New Roman" w:hAnsi="Times New Roman"/>
          <w:sz w:val="24"/>
          <w:szCs w:val="24"/>
        </w:rPr>
        <w:t xml:space="preserve"> and hearing loss in mice lacking </w:t>
      </w:r>
      <w:proofErr w:type="spellStart"/>
      <w:r w:rsidRPr="005E0373">
        <w:rPr>
          <w:rFonts w:ascii="Times New Roman" w:hAnsi="Times New Roman"/>
          <w:sz w:val="24"/>
          <w:szCs w:val="24"/>
        </w:rPr>
        <w:t>osteoprotegerin</w:t>
      </w:r>
      <w:proofErr w:type="spellEnd"/>
      <w:r w:rsidRPr="005E0373">
        <w:rPr>
          <w:rFonts w:ascii="Times New Roman" w:hAnsi="Times New Roman"/>
          <w:sz w:val="24"/>
          <w:szCs w:val="24"/>
        </w:rPr>
        <w:t>.</w:t>
      </w:r>
      <w:proofErr w:type="gramEnd"/>
      <w:r w:rsidRPr="005E0373">
        <w:rPr>
          <w:rFonts w:ascii="Times New Roman" w:hAnsi="Times New Roman"/>
          <w:sz w:val="24"/>
          <w:szCs w:val="24"/>
        </w:rPr>
        <w:t xml:space="preserve"> Bone, 39(2), 414-419.</w:t>
      </w:r>
    </w:p>
    <w:p w:rsidR="005E0373" w:rsidRPr="005E0373" w:rsidRDefault="005E0373" w:rsidP="005E0373">
      <w:pPr>
        <w:autoSpaceDE w:val="0"/>
        <w:autoSpaceDN w:val="0"/>
        <w:adjustRightInd w:val="0"/>
        <w:spacing w:line="480" w:lineRule="auto"/>
        <w:ind w:left="720" w:hanging="720"/>
        <w:jc w:val="both"/>
        <w:rPr>
          <w:rFonts w:ascii="Times New Roman" w:hAnsi="Times New Roman"/>
          <w:sz w:val="24"/>
          <w:szCs w:val="24"/>
        </w:rPr>
      </w:pPr>
      <w:proofErr w:type="spellStart"/>
      <w:proofErr w:type="gramStart"/>
      <w:r w:rsidRPr="005E0373">
        <w:rPr>
          <w:rFonts w:ascii="Times New Roman" w:hAnsi="Times New Roman"/>
          <w:sz w:val="24"/>
          <w:szCs w:val="24"/>
        </w:rPr>
        <w:t>Karlberg</w:t>
      </w:r>
      <w:proofErr w:type="spellEnd"/>
      <w:r w:rsidRPr="005E0373">
        <w:rPr>
          <w:rFonts w:ascii="Times New Roman" w:hAnsi="Times New Roman"/>
          <w:sz w:val="24"/>
          <w:szCs w:val="24"/>
        </w:rPr>
        <w:t xml:space="preserve">, M., Aw, S. T., </w:t>
      </w:r>
      <w:proofErr w:type="spellStart"/>
      <w:r w:rsidRPr="005E0373">
        <w:rPr>
          <w:rFonts w:ascii="Times New Roman" w:hAnsi="Times New Roman"/>
          <w:sz w:val="24"/>
          <w:szCs w:val="24"/>
        </w:rPr>
        <w:t>Halmagyi</w:t>
      </w:r>
      <w:proofErr w:type="spellEnd"/>
      <w:r w:rsidRPr="005E0373">
        <w:rPr>
          <w:rFonts w:ascii="Times New Roman" w:hAnsi="Times New Roman"/>
          <w:sz w:val="24"/>
          <w:szCs w:val="24"/>
        </w:rPr>
        <w:t>, G. M., &amp; Black, R. A. (2002).</w:t>
      </w:r>
      <w:proofErr w:type="gramEnd"/>
      <w:r w:rsidRPr="005E0373">
        <w:rPr>
          <w:rFonts w:ascii="Times New Roman" w:hAnsi="Times New Roman"/>
          <w:sz w:val="24"/>
          <w:szCs w:val="24"/>
        </w:rPr>
        <w:t xml:space="preserve"> Vibration-induced shift of the subjective visual horizontal: a sign of unilateral vestibular deficit. Archives of Otolaryngology–Head &amp; Neck Surgery, 128(1), 21-27.</w:t>
      </w:r>
    </w:p>
    <w:p w:rsidR="005E0373" w:rsidRPr="005E0373" w:rsidRDefault="005E0373" w:rsidP="005E0373">
      <w:pPr>
        <w:autoSpaceDE w:val="0"/>
        <w:autoSpaceDN w:val="0"/>
        <w:adjustRightInd w:val="0"/>
        <w:spacing w:line="480" w:lineRule="auto"/>
        <w:ind w:left="720" w:hanging="720"/>
        <w:jc w:val="both"/>
        <w:rPr>
          <w:rFonts w:ascii="Times New Roman" w:hAnsi="Times New Roman"/>
          <w:sz w:val="24"/>
          <w:szCs w:val="24"/>
        </w:rPr>
      </w:pPr>
      <w:proofErr w:type="spellStart"/>
      <w:r w:rsidRPr="005E0373">
        <w:rPr>
          <w:rFonts w:ascii="Times New Roman" w:hAnsi="Times New Roman"/>
          <w:sz w:val="24"/>
          <w:szCs w:val="24"/>
        </w:rPr>
        <w:t>Khetarpal</w:t>
      </w:r>
      <w:proofErr w:type="spellEnd"/>
      <w:r w:rsidRPr="005E0373">
        <w:rPr>
          <w:rFonts w:ascii="Times New Roman" w:hAnsi="Times New Roman"/>
          <w:sz w:val="24"/>
          <w:szCs w:val="24"/>
        </w:rPr>
        <w:t>, U., &amp;</w:t>
      </w:r>
      <w:proofErr w:type="spellStart"/>
      <w:r w:rsidRPr="005E0373">
        <w:rPr>
          <w:rFonts w:ascii="Times New Roman" w:hAnsi="Times New Roman"/>
          <w:sz w:val="24"/>
          <w:szCs w:val="24"/>
        </w:rPr>
        <w:t>Schuknecht</w:t>
      </w:r>
      <w:proofErr w:type="spellEnd"/>
      <w:r w:rsidRPr="005E0373">
        <w:rPr>
          <w:rFonts w:ascii="Times New Roman" w:hAnsi="Times New Roman"/>
          <w:sz w:val="24"/>
          <w:szCs w:val="24"/>
        </w:rPr>
        <w:t xml:space="preserve">, H. F. (1990).In search of pathologic correlates for hearing loss and vertigo in Paget's </w:t>
      </w:r>
      <w:proofErr w:type="spellStart"/>
      <w:r w:rsidRPr="005E0373">
        <w:rPr>
          <w:rFonts w:ascii="Times New Roman" w:hAnsi="Times New Roman"/>
          <w:sz w:val="24"/>
          <w:szCs w:val="24"/>
        </w:rPr>
        <w:t>disease.A</w:t>
      </w:r>
      <w:proofErr w:type="spellEnd"/>
      <w:r w:rsidRPr="005E0373">
        <w:rPr>
          <w:rFonts w:ascii="Times New Roman" w:hAnsi="Times New Roman"/>
          <w:sz w:val="24"/>
          <w:szCs w:val="24"/>
        </w:rPr>
        <w:t xml:space="preserve"> clinical and </w:t>
      </w:r>
      <w:proofErr w:type="spellStart"/>
      <w:r w:rsidRPr="005E0373">
        <w:rPr>
          <w:rFonts w:ascii="Times New Roman" w:hAnsi="Times New Roman"/>
          <w:sz w:val="24"/>
          <w:szCs w:val="24"/>
        </w:rPr>
        <w:t>histopathologic</w:t>
      </w:r>
      <w:proofErr w:type="spellEnd"/>
      <w:r w:rsidRPr="005E0373">
        <w:rPr>
          <w:rFonts w:ascii="Times New Roman" w:hAnsi="Times New Roman"/>
          <w:sz w:val="24"/>
          <w:szCs w:val="24"/>
        </w:rPr>
        <w:t xml:space="preserve"> study of 26 temporal </w:t>
      </w:r>
      <w:proofErr w:type="spellStart"/>
      <w:r w:rsidRPr="005E0373">
        <w:rPr>
          <w:rFonts w:ascii="Times New Roman" w:hAnsi="Times New Roman"/>
          <w:sz w:val="24"/>
          <w:szCs w:val="24"/>
        </w:rPr>
        <w:t>bones.The</w:t>
      </w:r>
      <w:proofErr w:type="spellEnd"/>
      <w:r w:rsidRPr="005E0373">
        <w:rPr>
          <w:rFonts w:ascii="Times New Roman" w:hAnsi="Times New Roman"/>
          <w:sz w:val="24"/>
          <w:szCs w:val="24"/>
        </w:rPr>
        <w:t xml:space="preserve"> Annals of otology, </w:t>
      </w:r>
      <w:proofErr w:type="spellStart"/>
      <w:r w:rsidRPr="005E0373">
        <w:rPr>
          <w:rFonts w:ascii="Times New Roman" w:hAnsi="Times New Roman"/>
          <w:sz w:val="24"/>
          <w:szCs w:val="24"/>
        </w:rPr>
        <w:t>rhinology</w:t>
      </w:r>
      <w:proofErr w:type="spellEnd"/>
      <w:r w:rsidRPr="005E0373">
        <w:rPr>
          <w:rFonts w:ascii="Times New Roman" w:hAnsi="Times New Roman"/>
          <w:sz w:val="24"/>
          <w:szCs w:val="24"/>
        </w:rPr>
        <w:t xml:space="preserve"> &amp; </w:t>
      </w:r>
      <w:proofErr w:type="spellStart"/>
      <w:r w:rsidRPr="005E0373">
        <w:rPr>
          <w:rFonts w:ascii="Times New Roman" w:hAnsi="Times New Roman"/>
          <w:sz w:val="24"/>
          <w:szCs w:val="24"/>
        </w:rPr>
        <w:t>laryngology</w:t>
      </w:r>
      <w:proofErr w:type="spellEnd"/>
      <w:r w:rsidRPr="005E0373">
        <w:rPr>
          <w:rFonts w:ascii="Times New Roman" w:hAnsi="Times New Roman"/>
          <w:sz w:val="24"/>
          <w:szCs w:val="24"/>
        </w:rPr>
        <w:t>. Supplement, 145, 1-16.</w:t>
      </w:r>
    </w:p>
    <w:p w:rsidR="005E0373" w:rsidRPr="005E0373" w:rsidRDefault="005E0373" w:rsidP="005E0373">
      <w:pPr>
        <w:autoSpaceDE w:val="0"/>
        <w:autoSpaceDN w:val="0"/>
        <w:adjustRightInd w:val="0"/>
        <w:spacing w:line="480" w:lineRule="auto"/>
        <w:ind w:left="720" w:hanging="720"/>
        <w:jc w:val="both"/>
        <w:rPr>
          <w:rFonts w:ascii="Times New Roman" w:hAnsi="Times New Roman"/>
          <w:sz w:val="24"/>
          <w:szCs w:val="24"/>
        </w:rPr>
      </w:pPr>
      <w:proofErr w:type="spellStart"/>
      <w:r w:rsidRPr="005E0373">
        <w:rPr>
          <w:rFonts w:ascii="Times New Roman" w:hAnsi="Times New Roman"/>
          <w:sz w:val="24"/>
          <w:szCs w:val="24"/>
        </w:rPr>
        <w:t>Lachman</w:t>
      </w:r>
      <w:proofErr w:type="spellEnd"/>
      <w:r w:rsidRPr="005E0373">
        <w:rPr>
          <w:rFonts w:ascii="Times New Roman" w:hAnsi="Times New Roman"/>
          <w:sz w:val="24"/>
          <w:szCs w:val="24"/>
        </w:rPr>
        <w:t xml:space="preserve">, M. E., Howland, J., </w:t>
      </w:r>
      <w:proofErr w:type="spellStart"/>
      <w:r w:rsidRPr="005E0373">
        <w:rPr>
          <w:rFonts w:ascii="Times New Roman" w:hAnsi="Times New Roman"/>
          <w:sz w:val="24"/>
          <w:szCs w:val="24"/>
        </w:rPr>
        <w:t>Tennstedt</w:t>
      </w:r>
      <w:proofErr w:type="spellEnd"/>
      <w:r w:rsidRPr="005E0373">
        <w:rPr>
          <w:rFonts w:ascii="Times New Roman" w:hAnsi="Times New Roman"/>
          <w:sz w:val="24"/>
          <w:szCs w:val="24"/>
        </w:rPr>
        <w:t xml:space="preserve">, S., </w:t>
      </w:r>
      <w:proofErr w:type="spellStart"/>
      <w:r w:rsidRPr="005E0373">
        <w:rPr>
          <w:rFonts w:ascii="Times New Roman" w:hAnsi="Times New Roman"/>
          <w:sz w:val="24"/>
          <w:szCs w:val="24"/>
        </w:rPr>
        <w:t>Jette</w:t>
      </w:r>
      <w:proofErr w:type="spellEnd"/>
      <w:r w:rsidRPr="005E0373">
        <w:rPr>
          <w:rFonts w:ascii="Times New Roman" w:hAnsi="Times New Roman"/>
          <w:sz w:val="24"/>
          <w:szCs w:val="24"/>
        </w:rPr>
        <w:t xml:space="preserve">, A., </w:t>
      </w:r>
      <w:proofErr w:type="spellStart"/>
      <w:r w:rsidRPr="005E0373">
        <w:rPr>
          <w:rFonts w:ascii="Times New Roman" w:hAnsi="Times New Roman"/>
          <w:sz w:val="24"/>
          <w:szCs w:val="24"/>
        </w:rPr>
        <w:t>Assmann</w:t>
      </w:r>
      <w:proofErr w:type="spellEnd"/>
      <w:r w:rsidRPr="005E0373">
        <w:rPr>
          <w:rFonts w:ascii="Times New Roman" w:hAnsi="Times New Roman"/>
          <w:sz w:val="24"/>
          <w:szCs w:val="24"/>
        </w:rPr>
        <w:t xml:space="preserve">, S., &amp; Peterson, E. W. (1998). Fear of falling and activity restriction: the survey of activities and fear of </w:t>
      </w:r>
      <w:r w:rsidRPr="005E0373">
        <w:rPr>
          <w:rFonts w:ascii="Times New Roman" w:hAnsi="Times New Roman"/>
          <w:sz w:val="24"/>
          <w:szCs w:val="24"/>
        </w:rPr>
        <w:lastRenderedPageBreak/>
        <w:t>falling in the elderly (SAFE). The Journals of Gerontology Series B: Psychological Sciences and Social Sciences, 53(1), P43-P50.</w:t>
      </w:r>
    </w:p>
    <w:p w:rsidR="005E0373" w:rsidRPr="005E0373" w:rsidRDefault="005E0373" w:rsidP="005E0373">
      <w:pPr>
        <w:autoSpaceDE w:val="0"/>
        <w:autoSpaceDN w:val="0"/>
        <w:adjustRightInd w:val="0"/>
        <w:spacing w:line="480" w:lineRule="auto"/>
        <w:ind w:left="720" w:hanging="720"/>
        <w:jc w:val="both"/>
        <w:rPr>
          <w:rFonts w:ascii="Times New Roman" w:hAnsi="Times New Roman"/>
          <w:sz w:val="24"/>
          <w:szCs w:val="24"/>
        </w:rPr>
      </w:pPr>
      <w:proofErr w:type="spellStart"/>
      <w:r w:rsidRPr="005E0373">
        <w:rPr>
          <w:rFonts w:ascii="Times New Roman" w:hAnsi="Times New Roman"/>
          <w:sz w:val="24"/>
          <w:szCs w:val="24"/>
        </w:rPr>
        <w:t>Legters</w:t>
      </w:r>
      <w:proofErr w:type="spellEnd"/>
      <w:r w:rsidRPr="005E0373">
        <w:rPr>
          <w:rFonts w:ascii="Times New Roman" w:hAnsi="Times New Roman"/>
          <w:sz w:val="24"/>
          <w:szCs w:val="24"/>
        </w:rPr>
        <w:t xml:space="preserve">, K. (2002). Fear of falling. </w:t>
      </w:r>
      <w:proofErr w:type="gramStart"/>
      <w:r w:rsidRPr="005E0373">
        <w:rPr>
          <w:rFonts w:ascii="Times New Roman" w:hAnsi="Times New Roman"/>
          <w:sz w:val="24"/>
          <w:szCs w:val="24"/>
        </w:rPr>
        <w:t>Physical therapy, 82(3), 264-272.</w:t>
      </w:r>
      <w:proofErr w:type="gramEnd"/>
    </w:p>
    <w:p w:rsidR="005E0373" w:rsidRPr="005E0373" w:rsidRDefault="005E0373" w:rsidP="005E0373">
      <w:pPr>
        <w:autoSpaceDE w:val="0"/>
        <w:autoSpaceDN w:val="0"/>
        <w:adjustRightInd w:val="0"/>
        <w:spacing w:line="480" w:lineRule="auto"/>
        <w:ind w:left="720" w:hanging="720"/>
        <w:jc w:val="both"/>
        <w:rPr>
          <w:rFonts w:ascii="Times New Roman" w:hAnsi="Times New Roman"/>
          <w:sz w:val="24"/>
          <w:szCs w:val="24"/>
        </w:rPr>
      </w:pPr>
      <w:proofErr w:type="gramStart"/>
      <w:r w:rsidRPr="005E0373">
        <w:rPr>
          <w:rFonts w:ascii="Times New Roman" w:hAnsi="Times New Roman"/>
          <w:sz w:val="24"/>
          <w:szCs w:val="24"/>
        </w:rPr>
        <w:t xml:space="preserve">Lynn, S. G., </w:t>
      </w:r>
      <w:proofErr w:type="spellStart"/>
      <w:r w:rsidRPr="005E0373">
        <w:rPr>
          <w:rFonts w:ascii="Times New Roman" w:hAnsi="Times New Roman"/>
          <w:sz w:val="24"/>
          <w:szCs w:val="24"/>
        </w:rPr>
        <w:t>Sinaki</w:t>
      </w:r>
      <w:proofErr w:type="spellEnd"/>
      <w:r w:rsidRPr="005E0373">
        <w:rPr>
          <w:rFonts w:ascii="Times New Roman" w:hAnsi="Times New Roman"/>
          <w:sz w:val="24"/>
          <w:szCs w:val="24"/>
        </w:rPr>
        <w:t>, M., &amp;</w:t>
      </w:r>
      <w:proofErr w:type="spellStart"/>
      <w:r w:rsidRPr="005E0373">
        <w:rPr>
          <w:rFonts w:ascii="Times New Roman" w:hAnsi="Times New Roman"/>
          <w:sz w:val="24"/>
          <w:szCs w:val="24"/>
        </w:rPr>
        <w:t>Westerlind</w:t>
      </w:r>
      <w:proofErr w:type="spellEnd"/>
      <w:r w:rsidRPr="005E0373">
        <w:rPr>
          <w:rFonts w:ascii="Times New Roman" w:hAnsi="Times New Roman"/>
          <w:sz w:val="24"/>
          <w:szCs w:val="24"/>
        </w:rPr>
        <w:t>, K. C. (1997).</w:t>
      </w:r>
      <w:proofErr w:type="gramEnd"/>
      <w:r w:rsidRPr="005E0373">
        <w:rPr>
          <w:rFonts w:ascii="Times New Roman" w:hAnsi="Times New Roman"/>
          <w:sz w:val="24"/>
          <w:szCs w:val="24"/>
        </w:rPr>
        <w:t xml:space="preserve"> Balance characteristics of persons with osteoporosis. </w:t>
      </w:r>
      <w:proofErr w:type="gramStart"/>
      <w:r w:rsidRPr="005E0373">
        <w:rPr>
          <w:rFonts w:ascii="Times New Roman" w:hAnsi="Times New Roman"/>
          <w:sz w:val="24"/>
          <w:szCs w:val="24"/>
        </w:rPr>
        <w:t>Archives of physical medicine and rehabilitation, 78(3), 273-277.</w:t>
      </w:r>
      <w:proofErr w:type="gramEnd"/>
    </w:p>
    <w:p w:rsidR="005E0373" w:rsidRPr="005E0373" w:rsidRDefault="005E0373" w:rsidP="005E0373">
      <w:pPr>
        <w:autoSpaceDE w:val="0"/>
        <w:autoSpaceDN w:val="0"/>
        <w:adjustRightInd w:val="0"/>
        <w:spacing w:line="480" w:lineRule="auto"/>
        <w:ind w:left="720" w:hanging="720"/>
        <w:jc w:val="both"/>
        <w:rPr>
          <w:rFonts w:ascii="Times New Roman" w:hAnsi="Times New Roman"/>
          <w:sz w:val="24"/>
          <w:szCs w:val="24"/>
        </w:rPr>
      </w:pPr>
      <w:proofErr w:type="spellStart"/>
      <w:proofErr w:type="gramStart"/>
      <w:r w:rsidRPr="005E0373">
        <w:rPr>
          <w:rFonts w:ascii="Times New Roman" w:hAnsi="Times New Roman"/>
          <w:sz w:val="24"/>
          <w:szCs w:val="24"/>
        </w:rPr>
        <w:t>Madureira</w:t>
      </w:r>
      <w:proofErr w:type="spellEnd"/>
      <w:r w:rsidRPr="005E0373">
        <w:rPr>
          <w:rFonts w:ascii="Times New Roman" w:hAnsi="Times New Roman"/>
          <w:sz w:val="24"/>
          <w:szCs w:val="24"/>
        </w:rPr>
        <w:t xml:space="preserve">, M. M., </w:t>
      </w:r>
      <w:proofErr w:type="spellStart"/>
      <w:r w:rsidRPr="005E0373">
        <w:rPr>
          <w:rFonts w:ascii="Times New Roman" w:hAnsi="Times New Roman"/>
          <w:sz w:val="24"/>
          <w:szCs w:val="24"/>
        </w:rPr>
        <w:t>Bonfá</w:t>
      </w:r>
      <w:proofErr w:type="spellEnd"/>
      <w:r w:rsidRPr="005E0373">
        <w:rPr>
          <w:rFonts w:ascii="Times New Roman" w:hAnsi="Times New Roman"/>
          <w:sz w:val="24"/>
          <w:szCs w:val="24"/>
        </w:rPr>
        <w:t xml:space="preserve">, E., </w:t>
      </w:r>
      <w:proofErr w:type="spellStart"/>
      <w:r w:rsidRPr="005E0373">
        <w:rPr>
          <w:rFonts w:ascii="Times New Roman" w:hAnsi="Times New Roman"/>
          <w:sz w:val="24"/>
          <w:szCs w:val="24"/>
        </w:rPr>
        <w:t>Takayama</w:t>
      </w:r>
      <w:proofErr w:type="spellEnd"/>
      <w:r w:rsidRPr="005E0373">
        <w:rPr>
          <w:rFonts w:ascii="Times New Roman" w:hAnsi="Times New Roman"/>
          <w:sz w:val="24"/>
          <w:szCs w:val="24"/>
        </w:rPr>
        <w:t>, L., &amp; Pereira, R. M. (2010).</w:t>
      </w:r>
      <w:proofErr w:type="gramEnd"/>
      <w:r w:rsidRPr="005E0373">
        <w:rPr>
          <w:rFonts w:ascii="Times New Roman" w:hAnsi="Times New Roman"/>
          <w:sz w:val="24"/>
          <w:szCs w:val="24"/>
        </w:rPr>
        <w:t xml:space="preserve"> A 12-month randomized controlled trial of balance training in elderly women with osteoporosis: improvement of quality of life. </w:t>
      </w:r>
      <w:proofErr w:type="spellStart"/>
      <w:r w:rsidRPr="005E0373">
        <w:rPr>
          <w:rFonts w:ascii="Times New Roman" w:hAnsi="Times New Roman"/>
          <w:sz w:val="24"/>
          <w:szCs w:val="24"/>
        </w:rPr>
        <w:t>Maturitas</w:t>
      </w:r>
      <w:proofErr w:type="spellEnd"/>
      <w:r w:rsidRPr="005E0373">
        <w:rPr>
          <w:rFonts w:ascii="Times New Roman" w:hAnsi="Times New Roman"/>
          <w:sz w:val="24"/>
          <w:szCs w:val="24"/>
        </w:rPr>
        <w:t>, 66(2), 206-211.</w:t>
      </w:r>
    </w:p>
    <w:p w:rsidR="005E0373" w:rsidRPr="005E0373" w:rsidRDefault="005E0373" w:rsidP="005E0373">
      <w:pPr>
        <w:autoSpaceDE w:val="0"/>
        <w:autoSpaceDN w:val="0"/>
        <w:adjustRightInd w:val="0"/>
        <w:spacing w:line="480" w:lineRule="auto"/>
        <w:ind w:left="720" w:hanging="720"/>
        <w:jc w:val="both"/>
        <w:rPr>
          <w:rFonts w:ascii="Times New Roman" w:hAnsi="Times New Roman"/>
          <w:sz w:val="24"/>
          <w:szCs w:val="24"/>
        </w:rPr>
      </w:pPr>
      <w:proofErr w:type="spellStart"/>
      <w:r w:rsidRPr="005E0373">
        <w:rPr>
          <w:rFonts w:ascii="Times New Roman" w:hAnsi="Times New Roman"/>
          <w:sz w:val="24"/>
          <w:szCs w:val="24"/>
        </w:rPr>
        <w:t>Monsel</w:t>
      </w:r>
      <w:proofErr w:type="spellEnd"/>
      <w:r w:rsidRPr="005E0373">
        <w:rPr>
          <w:rFonts w:ascii="Times New Roman" w:hAnsi="Times New Roman"/>
          <w:sz w:val="24"/>
          <w:szCs w:val="24"/>
        </w:rPr>
        <w:t xml:space="preserve">, E. M., (2004). The mechanism of hearing loss in </w:t>
      </w:r>
      <w:proofErr w:type="spellStart"/>
      <w:proofErr w:type="gramStart"/>
      <w:r w:rsidRPr="005E0373">
        <w:rPr>
          <w:rFonts w:ascii="Times New Roman" w:hAnsi="Times New Roman"/>
          <w:sz w:val="24"/>
          <w:szCs w:val="24"/>
        </w:rPr>
        <w:t>pagets</w:t>
      </w:r>
      <w:proofErr w:type="spellEnd"/>
      <w:proofErr w:type="gramEnd"/>
      <w:r w:rsidRPr="005E0373">
        <w:rPr>
          <w:rFonts w:ascii="Times New Roman" w:hAnsi="Times New Roman"/>
          <w:sz w:val="24"/>
          <w:szCs w:val="24"/>
        </w:rPr>
        <w:t xml:space="preserve"> disease of bone. </w:t>
      </w:r>
      <w:proofErr w:type="gramStart"/>
      <w:r w:rsidRPr="005E0373">
        <w:rPr>
          <w:rFonts w:ascii="Times New Roman" w:hAnsi="Times New Roman"/>
          <w:sz w:val="24"/>
          <w:szCs w:val="24"/>
        </w:rPr>
        <w:t>Laryngoscope.</w:t>
      </w:r>
      <w:proofErr w:type="gramEnd"/>
      <w:r w:rsidRPr="005E0373">
        <w:rPr>
          <w:rFonts w:ascii="Times New Roman" w:hAnsi="Times New Roman"/>
          <w:sz w:val="24"/>
          <w:szCs w:val="24"/>
        </w:rPr>
        <w:t xml:space="preserve"> 114, 598-606. </w:t>
      </w:r>
    </w:p>
    <w:p w:rsidR="005E0373" w:rsidRPr="005E0373" w:rsidRDefault="005E0373" w:rsidP="005E0373">
      <w:pPr>
        <w:autoSpaceDE w:val="0"/>
        <w:autoSpaceDN w:val="0"/>
        <w:adjustRightInd w:val="0"/>
        <w:spacing w:line="480" w:lineRule="auto"/>
        <w:ind w:left="720" w:hanging="720"/>
        <w:jc w:val="both"/>
        <w:rPr>
          <w:rFonts w:ascii="Times New Roman" w:hAnsi="Times New Roman"/>
          <w:sz w:val="24"/>
          <w:szCs w:val="24"/>
        </w:rPr>
      </w:pPr>
      <w:proofErr w:type="spellStart"/>
      <w:r w:rsidRPr="005E0373">
        <w:rPr>
          <w:rFonts w:ascii="Times New Roman" w:hAnsi="Times New Roman"/>
          <w:sz w:val="24"/>
          <w:szCs w:val="24"/>
        </w:rPr>
        <w:t>Nager</w:t>
      </w:r>
      <w:proofErr w:type="spellEnd"/>
      <w:r w:rsidRPr="005E0373">
        <w:rPr>
          <w:rFonts w:ascii="Times New Roman" w:hAnsi="Times New Roman"/>
          <w:sz w:val="24"/>
          <w:szCs w:val="24"/>
        </w:rPr>
        <w:t xml:space="preserve">, G. T. (1975). </w:t>
      </w:r>
      <w:proofErr w:type="gramStart"/>
      <w:r w:rsidRPr="005E0373">
        <w:rPr>
          <w:rFonts w:ascii="Times New Roman" w:hAnsi="Times New Roman"/>
          <w:sz w:val="24"/>
          <w:szCs w:val="24"/>
        </w:rPr>
        <w:t>Paget’s disease of the temporal bone.</w:t>
      </w:r>
      <w:proofErr w:type="gramEnd"/>
      <w:r w:rsidRPr="005E0373">
        <w:rPr>
          <w:rFonts w:ascii="Times New Roman" w:hAnsi="Times New Roman"/>
          <w:sz w:val="24"/>
          <w:szCs w:val="24"/>
        </w:rPr>
        <w:t xml:space="preserve"> Ann </w:t>
      </w:r>
      <w:proofErr w:type="spellStart"/>
      <w:r w:rsidRPr="005E0373">
        <w:rPr>
          <w:rFonts w:ascii="Times New Roman" w:hAnsi="Times New Roman"/>
          <w:sz w:val="24"/>
          <w:szCs w:val="24"/>
        </w:rPr>
        <w:t>OtolRhinolLaryngol</w:t>
      </w:r>
      <w:proofErr w:type="spellEnd"/>
      <w:r w:rsidRPr="005E0373">
        <w:rPr>
          <w:rFonts w:ascii="Times New Roman" w:hAnsi="Times New Roman"/>
          <w:sz w:val="24"/>
          <w:szCs w:val="24"/>
        </w:rPr>
        <w:t xml:space="preserve"> (</w:t>
      </w:r>
      <w:proofErr w:type="spellStart"/>
      <w:r w:rsidRPr="005E0373">
        <w:rPr>
          <w:rFonts w:ascii="Times New Roman" w:hAnsi="Times New Roman"/>
          <w:sz w:val="24"/>
          <w:szCs w:val="24"/>
        </w:rPr>
        <w:t>Suppl</w:t>
      </w:r>
      <w:proofErr w:type="spellEnd"/>
      <w:r w:rsidRPr="005E0373">
        <w:rPr>
          <w:rFonts w:ascii="Times New Roman" w:hAnsi="Times New Roman"/>
          <w:sz w:val="24"/>
          <w:szCs w:val="24"/>
        </w:rPr>
        <w:t xml:space="preserve"> 22):1–32.</w:t>
      </w:r>
    </w:p>
    <w:p w:rsidR="005E0373" w:rsidRPr="005E0373" w:rsidRDefault="005E0373" w:rsidP="005E0373">
      <w:pPr>
        <w:autoSpaceDE w:val="0"/>
        <w:autoSpaceDN w:val="0"/>
        <w:adjustRightInd w:val="0"/>
        <w:spacing w:line="480" w:lineRule="auto"/>
        <w:ind w:left="720" w:hanging="720"/>
        <w:jc w:val="both"/>
        <w:rPr>
          <w:rFonts w:ascii="Times New Roman" w:hAnsi="Times New Roman"/>
          <w:sz w:val="24"/>
          <w:szCs w:val="24"/>
        </w:rPr>
      </w:pPr>
      <w:proofErr w:type="spellStart"/>
      <w:r w:rsidRPr="005E0373">
        <w:rPr>
          <w:rFonts w:ascii="Times New Roman" w:hAnsi="Times New Roman"/>
          <w:sz w:val="24"/>
          <w:szCs w:val="24"/>
        </w:rPr>
        <w:t>Nager</w:t>
      </w:r>
      <w:proofErr w:type="spellEnd"/>
      <w:r w:rsidRPr="005E0373">
        <w:rPr>
          <w:rFonts w:ascii="Times New Roman" w:hAnsi="Times New Roman"/>
          <w:sz w:val="24"/>
          <w:szCs w:val="24"/>
        </w:rPr>
        <w:t xml:space="preserve">, G. T. (1977). </w:t>
      </w:r>
      <w:proofErr w:type="spellStart"/>
      <w:r w:rsidRPr="005E0373">
        <w:rPr>
          <w:rFonts w:ascii="Times New Roman" w:hAnsi="Times New Roman"/>
          <w:sz w:val="24"/>
          <w:szCs w:val="24"/>
        </w:rPr>
        <w:t>Cholesteatoma</w:t>
      </w:r>
      <w:proofErr w:type="spellEnd"/>
      <w:r w:rsidRPr="005E0373">
        <w:rPr>
          <w:rFonts w:ascii="Times New Roman" w:hAnsi="Times New Roman"/>
          <w:sz w:val="24"/>
          <w:szCs w:val="24"/>
        </w:rPr>
        <w:t xml:space="preserve"> of the middle ear: Pathogenesis and surgical indication. </w:t>
      </w:r>
      <w:proofErr w:type="gramStart"/>
      <w:r w:rsidRPr="005E0373">
        <w:rPr>
          <w:rFonts w:ascii="Times New Roman" w:hAnsi="Times New Roman"/>
          <w:sz w:val="24"/>
          <w:szCs w:val="24"/>
        </w:rPr>
        <w:t xml:space="preserve">In </w:t>
      </w:r>
      <w:proofErr w:type="spellStart"/>
      <w:r w:rsidRPr="005E0373">
        <w:rPr>
          <w:rFonts w:ascii="Times New Roman" w:hAnsi="Times New Roman"/>
          <w:sz w:val="24"/>
          <w:szCs w:val="24"/>
        </w:rPr>
        <w:t>Cholesteatoma</w:t>
      </w:r>
      <w:proofErr w:type="spellEnd"/>
      <w:r w:rsidRPr="005E0373">
        <w:rPr>
          <w:rFonts w:ascii="Times New Roman" w:hAnsi="Times New Roman"/>
          <w:sz w:val="24"/>
          <w:szCs w:val="24"/>
        </w:rPr>
        <w:t>, first international conference (193-203).</w:t>
      </w:r>
      <w:proofErr w:type="gramEnd"/>
    </w:p>
    <w:p w:rsidR="005E0373" w:rsidRPr="005E0373" w:rsidRDefault="005E0373" w:rsidP="005E0373">
      <w:pPr>
        <w:autoSpaceDE w:val="0"/>
        <w:autoSpaceDN w:val="0"/>
        <w:adjustRightInd w:val="0"/>
        <w:spacing w:line="480" w:lineRule="auto"/>
        <w:ind w:left="720" w:hanging="720"/>
        <w:jc w:val="both"/>
        <w:rPr>
          <w:rFonts w:ascii="Times New Roman" w:hAnsi="Times New Roman"/>
          <w:sz w:val="24"/>
          <w:szCs w:val="24"/>
        </w:rPr>
      </w:pPr>
      <w:proofErr w:type="gramStart"/>
      <w:r w:rsidRPr="005E0373">
        <w:rPr>
          <w:rFonts w:ascii="Times New Roman" w:hAnsi="Times New Roman"/>
          <w:sz w:val="24"/>
          <w:szCs w:val="24"/>
        </w:rPr>
        <w:t>Osteoporosis Prevention, Diagnosis, and Therapy.</w:t>
      </w:r>
      <w:proofErr w:type="gramEnd"/>
      <w:r w:rsidRPr="005E0373">
        <w:rPr>
          <w:rFonts w:ascii="Times New Roman" w:hAnsi="Times New Roman"/>
          <w:sz w:val="24"/>
          <w:szCs w:val="24"/>
        </w:rPr>
        <w:t xml:space="preserve"> NIH Consensus Statement 2000 March 27-29; 17(1): 1–45. </w:t>
      </w:r>
    </w:p>
    <w:p w:rsidR="005E0373" w:rsidRPr="005E0373" w:rsidRDefault="005E0373" w:rsidP="005E0373">
      <w:pPr>
        <w:autoSpaceDE w:val="0"/>
        <w:autoSpaceDN w:val="0"/>
        <w:adjustRightInd w:val="0"/>
        <w:spacing w:line="480" w:lineRule="auto"/>
        <w:ind w:left="720" w:hanging="720"/>
        <w:jc w:val="both"/>
        <w:rPr>
          <w:rFonts w:ascii="Times New Roman" w:hAnsi="Times New Roman"/>
          <w:sz w:val="24"/>
          <w:szCs w:val="24"/>
        </w:rPr>
      </w:pPr>
      <w:proofErr w:type="spellStart"/>
      <w:r w:rsidRPr="005E0373">
        <w:rPr>
          <w:rFonts w:ascii="Times New Roman" w:hAnsi="Times New Roman"/>
          <w:sz w:val="24"/>
          <w:szCs w:val="24"/>
        </w:rPr>
        <w:t>Ozakiris</w:t>
      </w:r>
      <w:proofErr w:type="spellEnd"/>
      <w:r w:rsidRPr="005E0373">
        <w:rPr>
          <w:rFonts w:ascii="Times New Roman" w:hAnsi="Times New Roman"/>
          <w:sz w:val="24"/>
          <w:szCs w:val="24"/>
        </w:rPr>
        <w:t xml:space="preserve">, M., </w:t>
      </w:r>
      <w:proofErr w:type="spellStart"/>
      <w:r w:rsidRPr="005E0373">
        <w:rPr>
          <w:rFonts w:ascii="Times New Roman" w:hAnsi="Times New Roman"/>
          <w:sz w:val="24"/>
          <w:szCs w:val="24"/>
        </w:rPr>
        <w:t>Karacavus</w:t>
      </w:r>
      <w:proofErr w:type="spellEnd"/>
      <w:r w:rsidRPr="005E0373">
        <w:rPr>
          <w:rFonts w:ascii="Times New Roman" w:hAnsi="Times New Roman"/>
          <w:sz w:val="24"/>
          <w:szCs w:val="24"/>
        </w:rPr>
        <w:t xml:space="preserve">, S., </w:t>
      </w:r>
      <w:proofErr w:type="spellStart"/>
      <w:r w:rsidRPr="005E0373">
        <w:rPr>
          <w:rFonts w:ascii="Times New Roman" w:hAnsi="Times New Roman"/>
          <w:sz w:val="24"/>
          <w:szCs w:val="24"/>
        </w:rPr>
        <w:t>Kapusuz</w:t>
      </w:r>
      <w:proofErr w:type="spellEnd"/>
      <w:r w:rsidRPr="005E0373">
        <w:rPr>
          <w:rFonts w:ascii="Times New Roman" w:hAnsi="Times New Roman"/>
          <w:sz w:val="24"/>
          <w:szCs w:val="24"/>
        </w:rPr>
        <w:t xml:space="preserve">, Z., </w:t>
      </w:r>
      <w:proofErr w:type="spellStart"/>
      <w:r w:rsidRPr="005E0373">
        <w:rPr>
          <w:rFonts w:ascii="Times New Roman" w:hAnsi="Times New Roman"/>
          <w:sz w:val="24"/>
          <w:szCs w:val="24"/>
        </w:rPr>
        <w:t>Balbaloglu</w:t>
      </w:r>
      <w:proofErr w:type="spellEnd"/>
      <w:r w:rsidRPr="005E0373">
        <w:rPr>
          <w:rFonts w:ascii="Times New Roman" w:hAnsi="Times New Roman"/>
          <w:sz w:val="24"/>
          <w:szCs w:val="24"/>
        </w:rPr>
        <w:t xml:space="preserve">, </w:t>
      </w:r>
      <w:proofErr w:type="spellStart"/>
      <w:r w:rsidRPr="005E0373">
        <w:rPr>
          <w:rFonts w:ascii="Times New Roman" w:hAnsi="Times New Roman"/>
          <w:sz w:val="24"/>
          <w:szCs w:val="24"/>
        </w:rPr>
        <w:t>O.</w:t>
      </w:r>
      <w:proofErr w:type="gramStart"/>
      <w:r w:rsidRPr="005E0373">
        <w:rPr>
          <w:rFonts w:ascii="Times New Roman" w:hAnsi="Times New Roman"/>
          <w:sz w:val="24"/>
          <w:szCs w:val="24"/>
        </w:rPr>
        <w:t>,&amp;</w:t>
      </w:r>
      <w:proofErr w:type="gramEnd"/>
      <w:r w:rsidRPr="005E0373">
        <w:rPr>
          <w:rFonts w:ascii="Times New Roman" w:hAnsi="Times New Roman"/>
          <w:sz w:val="24"/>
          <w:szCs w:val="24"/>
        </w:rPr>
        <w:t>Saydam</w:t>
      </w:r>
      <w:proofErr w:type="spellEnd"/>
      <w:r w:rsidRPr="005E0373">
        <w:rPr>
          <w:rFonts w:ascii="Times New Roman" w:hAnsi="Times New Roman"/>
          <w:sz w:val="24"/>
          <w:szCs w:val="24"/>
        </w:rPr>
        <w:t xml:space="preserve">, L. (2013). Does bone mineral density have an effect on hearing loss in postmenopausal patients? Annals of </w:t>
      </w:r>
      <w:proofErr w:type="spellStart"/>
      <w:r w:rsidRPr="005E0373">
        <w:rPr>
          <w:rFonts w:ascii="Times New Roman" w:hAnsi="Times New Roman"/>
          <w:sz w:val="24"/>
          <w:szCs w:val="24"/>
        </w:rPr>
        <w:t>OtolRhinolLaryngol</w:t>
      </w:r>
      <w:proofErr w:type="spellEnd"/>
      <w:r w:rsidRPr="005E0373">
        <w:rPr>
          <w:rFonts w:ascii="Times New Roman" w:hAnsi="Times New Roman"/>
          <w:sz w:val="24"/>
          <w:szCs w:val="24"/>
        </w:rPr>
        <w:t>, 122(10), 648-52</w:t>
      </w:r>
    </w:p>
    <w:p w:rsidR="005E0373" w:rsidRPr="005E0373" w:rsidRDefault="005E0373" w:rsidP="005E0373">
      <w:pPr>
        <w:autoSpaceDE w:val="0"/>
        <w:autoSpaceDN w:val="0"/>
        <w:adjustRightInd w:val="0"/>
        <w:spacing w:line="480" w:lineRule="auto"/>
        <w:ind w:left="720" w:hanging="720"/>
        <w:jc w:val="both"/>
        <w:rPr>
          <w:rFonts w:ascii="Times New Roman" w:hAnsi="Times New Roman"/>
          <w:sz w:val="24"/>
          <w:szCs w:val="24"/>
        </w:rPr>
      </w:pPr>
      <w:proofErr w:type="spellStart"/>
      <w:r w:rsidRPr="005E0373">
        <w:rPr>
          <w:rFonts w:ascii="Times New Roman" w:hAnsi="Times New Roman"/>
          <w:sz w:val="24"/>
          <w:szCs w:val="24"/>
        </w:rPr>
        <w:t>Randell</w:t>
      </w:r>
      <w:proofErr w:type="spellEnd"/>
      <w:r w:rsidRPr="005E0373">
        <w:rPr>
          <w:rFonts w:ascii="Times New Roman" w:hAnsi="Times New Roman"/>
          <w:sz w:val="24"/>
          <w:szCs w:val="24"/>
        </w:rPr>
        <w:t xml:space="preserve">, A. G., Nguyen, T. V., </w:t>
      </w:r>
      <w:proofErr w:type="spellStart"/>
      <w:r w:rsidRPr="005E0373">
        <w:rPr>
          <w:rFonts w:ascii="Times New Roman" w:hAnsi="Times New Roman"/>
          <w:sz w:val="24"/>
          <w:szCs w:val="24"/>
        </w:rPr>
        <w:t>Bhalerao</w:t>
      </w:r>
      <w:proofErr w:type="spellEnd"/>
      <w:r w:rsidRPr="005E0373">
        <w:rPr>
          <w:rFonts w:ascii="Times New Roman" w:hAnsi="Times New Roman"/>
          <w:sz w:val="24"/>
          <w:szCs w:val="24"/>
        </w:rPr>
        <w:t xml:space="preserve">, N., Silverman, S. L., </w:t>
      </w:r>
      <w:proofErr w:type="spellStart"/>
      <w:r w:rsidRPr="005E0373">
        <w:rPr>
          <w:rFonts w:ascii="Times New Roman" w:hAnsi="Times New Roman"/>
          <w:sz w:val="24"/>
          <w:szCs w:val="24"/>
        </w:rPr>
        <w:t>Sambrook</w:t>
      </w:r>
      <w:proofErr w:type="spellEnd"/>
      <w:r w:rsidRPr="005E0373">
        <w:rPr>
          <w:rFonts w:ascii="Times New Roman" w:hAnsi="Times New Roman"/>
          <w:sz w:val="24"/>
          <w:szCs w:val="24"/>
        </w:rPr>
        <w:t>, P. N., &amp;</w:t>
      </w:r>
      <w:proofErr w:type="spellStart"/>
      <w:r w:rsidRPr="005E0373">
        <w:rPr>
          <w:rFonts w:ascii="Times New Roman" w:hAnsi="Times New Roman"/>
          <w:sz w:val="24"/>
          <w:szCs w:val="24"/>
        </w:rPr>
        <w:t>Eisman</w:t>
      </w:r>
      <w:proofErr w:type="spellEnd"/>
      <w:r w:rsidRPr="005E0373">
        <w:rPr>
          <w:rFonts w:ascii="Times New Roman" w:hAnsi="Times New Roman"/>
          <w:sz w:val="24"/>
          <w:szCs w:val="24"/>
        </w:rPr>
        <w:t>, J. A. (2000). Deterioration in quality of life following hip fracture: a prospective study. Osteoporosis International, 11(5), 460-466.</w:t>
      </w:r>
    </w:p>
    <w:p w:rsidR="005E0373" w:rsidRPr="005E0373" w:rsidRDefault="005E0373" w:rsidP="005E0373">
      <w:pPr>
        <w:autoSpaceDE w:val="0"/>
        <w:autoSpaceDN w:val="0"/>
        <w:adjustRightInd w:val="0"/>
        <w:spacing w:line="480" w:lineRule="auto"/>
        <w:ind w:left="720" w:hanging="720"/>
        <w:jc w:val="both"/>
        <w:rPr>
          <w:rFonts w:ascii="Times New Roman" w:hAnsi="Times New Roman"/>
          <w:sz w:val="24"/>
          <w:szCs w:val="24"/>
        </w:rPr>
      </w:pPr>
      <w:proofErr w:type="gramStart"/>
      <w:r w:rsidRPr="005E0373">
        <w:rPr>
          <w:rFonts w:ascii="Times New Roman" w:hAnsi="Times New Roman"/>
          <w:sz w:val="24"/>
          <w:szCs w:val="24"/>
        </w:rPr>
        <w:lastRenderedPageBreak/>
        <w:t>Rogers, M. E., Fernandez, J. E., &amp;</w:t>
      </w:r>
      <w:proofErr w:type="spellStart"/>
      <w:r w:rsidRPr="005E0373">
        <w:rPr>
          <w:rFonts w:ascii="Times New Roman" w:hAnsi="Times New Roman"/>
          <w:sz w:val="24"/>
          <w:szCs w:val="24"/>
        </w:rPr>
        <w:t>Bohlken</w:t>
      </w:r>
      <w:proofErr w:type="spellEnd"/>
      <w:r w:rsidRPr="005E0373">
        <w:rPr>
          <w:rFonts w:ascii="Times New Roman" w:hAnsi="Times New Roman"/>
          <w:sz w:val="24"/>
          <w:szCs w:val="24"/>
        </w:rPr>
        <w:t>, R. M. (2001).</w:t>
      </w:r>
      <w:proofErr w:type="gramEnd"/>
      <w:r w:rsidRPr="005E0373">
        <w:rPr>
          <w:rFonts w:ascii="Times New Roman" w:hAnsi="Times New Roman"/>
          <w:sz w:val="24"/>
          <w:szCs w:val="24"/>
        </w:rPr>
        <w:t xml:space="preserve"> Training to reduce postural sway and increase functional reach in the elderly. Journal of Occupational Rehabilitation, 11(4), 291-298.</w:t>
      </w:r>
    </w:p>
    <w:p w:rsidR="005E0373" w:rsidRPr="005E0373" w:rsidRDefault="005E0373" w:rsidP="005E0373">
      <w:pPr>
        <w:autoSpaceDE w:val="0"/>
        <w:autoSpaceDN w:val="0"/>
        <w:adjustRightInd w:val="0"/>
        <w:spacing w:line="480" w:lineRule="auto"/>
        <w:ind w:left="720" w:hanging="720"/>
        <w:jc w:val="both"/>
        <w:rPr>
          <w:rFonts w:ascii="Times New Roman" w:hAnsi="Times New Roman"/>
          <w:sz w:val="24"/>
          <w:szCs w:val="24"/>
        </w:rPr>
      </w:pPr>
      <w:proofErr w:type="spellStart"/>
      <w:proofErr w:type="gramStart"/>
      <w:r w:rsidRPr="005E0373">
        <w:rPr>
          <w:rFonts w:ascii="Times New Roman" w:hAnsi="Times New Roman"/>
          <w:sz w:val="24"/>
          <w:szCs w:val="24"/>
        </w:rPr>
        <w:t>Rosengren</w:t>
      </w:r>
      <w:proofErr w:type="spellEnd"/>
      <w:r w:rsidRPr="005E0373">
        <w:rPr>
          <w:rFonts w:ascii="Times New Roman" w:hAnsi="Times New Roman"/>
          <w:sz w:val="24"/>
          <w:szCs w:val="24"/>
        </w:rPr>
        <w:t>, S. M., Todd, N. M., &amp; Colebatch, J. G. (2005).</w:t>
      </w:r>
      <w:proofErr w:type="gramEnd"/>
      <w:r w:rsidRPr="005E0373">
        <w:rPr>
          <w:rFonts w:ascii="Times New Roman" w:hAnsi="Times New Roman"/>
          <w:sz w:val="24"/>
          <w:szCs w:val="24"/>
        </w:rPr>
        <w:t xml:space="preserve"> Vestibular-evoked </w:t>
      </w:r>
      <w:proofErr w:type="spellStart"/>
      <w:r w:rsidRPr="005E0373">
        <w:rPr>
          <w:rFonts w:ascii="Times New Roman" w:hAnsi="Times New Roman"/>
          <w:sz w:val="24"/>
          <w:szCs w:val="24"/>
        </w:rPr>
        <w:t>extraocular</w:t>
      </w:r>
      <w:proofErr w:type="spellEnd"/>
      <w:r w:rsidRPr="005E0373">
        <w:rPr>
          <w:rFonts w:ascii="Times New Roman" w:hAnsi="Times New Roman"/>
          <w:sz w:val="24"/>
          <w:szCs w:val="24"/>
        </w:rPr>
        <w:t xml:space="preserve"> potentials produced by stimulation with bone-conducted sound. </w:t>
      </w:r>
      <w:proofErr w:type="gramStart"/>
      <w:r w:rsidRPr="005E0373">
        <w:rPr>
          <w:rFonts w:ascii="Times New Roman" w:hAnsi="Times New Roman"/>
          <w:sz w:val="24"/>
          <w:szCs w:val="24"/>
        </w:rPr>
        <w:t>Clinical neurophysiology, 116(8), 1938-1948.</w:t>
      </w:r>
      <w:proofErr w:type="gramEnd"/>
    </w:p>
    <w:p w:rsidR="005E0373" w:rsidRPr="005E0373" w:rsidRDefault="005E0373" w:rsidP="005E0373">
      <w:pPr>
        <w:autoSpaceDE w:val="0"/>
        <w:autoSpaceDN w:val="0"/>
        <w:adjustRightInd w:val="0"/>
        <w:spacing w:line="480" w:lineRule="auto"/>
        <w:ind w:left="720" w:hanging="720"/>
        <w:jc w:val="both"/>
        <w:rPr>
          <w:rFonts w:ascii="Times New Roman" w:hAnsi="Times New Roman"/>
          <w:sz w:val="24"/>
          <w:szCs w:val="24"/>
        </w:rPr>
      </w:pPr>
      <w:proofErr w:type="spellStart"/>
      <w:proofErr w:type="gramStart"/>
      <w:r w:rsidRPr="005E0373">
        <w:rPr>
          <w:rFonts w:ascii="Times New Roman" w:hAnsi="Times New Roman"/>
          <w:sz w:val="24"/>
          <w:szCs w:val="24"/>
        </w:rPr>
        <w:t>Rumalla</w:t>
      </w:r>
      <w:proofErr w:type="spellEnd"/>
      <w:r w:rsidRPr="005E0373">
        <w:rPr>
          <w:rFonts w:ascii="Times New Roman" w:hAnsi="Times New Roman"/>
          <w:sz w:val="24"/>
          <w:szCs w:val="24"/>
        </w:rPr>
        <w:t xml:space="preserve">, K., </w:t>
      </w:r>
      <w:proofErr w:type="spellStart"/>
      <w:r w:rsidRPr="005E0373">
        <w:rPr>
          <w:rFonts w:ascii="Times New Roman" w:hAnsi="Times New Roman"/>
          <w:sz w:val="24"/>
          <w:szCs w:val="24"/>
        </w:rPr>
        <w:t>Karim</w:t>
      </w:r>
      <w:proofErr w:type="spellEnd"/>
      <w:r w:rsidRPr="005E0373">
        <w:rPr>
          <w:rFonts w:ascii="Times New Roman" w:hAnsi="Times New Roman"/>
          <w:sz w:val="24"/>
          <w:szCs w:val="24"/>
        </w:rPr>
        <w:t>, A. M., &amp;</w:t>
      </w:r>
      <w:proofErr w:type="spellStart"/>
      <w:r w:rsidRPr="005E0373">
        <w:rPr>
          <w:rFonts w:ascii="Times New Roman" w:hAnsi="Times New Roman"/>
          <w:sz w:val="24"/>
          <w:szCs w:val="24"/>
        </w:rPr>
        <w:t>Hullar</w:t>
      </w:r>
      <w:proofErr w:type="spellEnd"/>
      <w:r w:rsidRPr="005E0373">
        <w:rPr>
          <w:rFonts w:ascii="Times New Roman" w:hAnsi="Times New Roman"/>
          <w:sz w:val="24"/>
          <w:szCs w:val="24"/>
        </w:rPr>
        <w:t>, T. E. (2015).</w:t>
      </w:r>
      <w:proofErr w:type="gramEnd"/>
      <w:r w:rsidRPr="005E0373">
        <w:rPr>
          <w:rFonts w:ascii="Times New Roman" w:hAnsi="Times New Roman"/>
          <w:sz w:val="24"/>
          <w:szCs w:val="24"/>
        </w:rPr>
        <w:t xml:space="preserve"> The effect of hearing aids on postural stability. The Laryngoscope, 125(3), 720-723.</w:t>
      </w:r>
    </w:p>
    <w:p w:rsidR="005E0373" w:rsidRPr="005E0373" w:rsidRDefault="005E0373" w:rsidP="005E0373">
      <w:pPr>
        <w:autoSpaceDE w:val="0"/>
        <w:autoSpaceDN w:val="0"/>
        <w:adjustRightInd w:val="0"/>
        <w:spacing w:line="480" w:lineRule="auto"/>
        <w:ind w:left="720" w:hanging="720"/>
        <w:jc w:val="both"/>
        <w:rPr>
          <w:rFonts w:ascii="Times New Roman" w:hAnsi="Times New Roman"/>
          <w:sz w:val="24"/>
          <w:szCs w:val="24"/>
        </w:rPr>
      </w:pPr>
      <w:proofErr w:type="spellStart"/>
      <w:r w:rsidRPr="005E0373">
        <w:rPr>
          <w:rFonts w:ascii="Times New Roman" w:hAnsi="Times New Roman"/>
          <w:sz w:val="24"/>
          <w:szCs w:val="24"/>
        </w:rPr>
        <w:t>Silsupadol</w:t>
      </w:r>
      <w:proofErr w:type="spellEnd"/>
      <w:r w:rsidRPr="005E0373">
        <w:rPr>
          <w:rFonts w:ascii="Times New Roman" w:hAnsi="Times New Roman"/>
          <w:sz w:val="24"/>
          <w:szCs w:val="24"/>
        </w:rPr>
        <w:t xml:space="preserve">, P., </w:t>
      </w:r>
      <w:proofErr w:type="spellStart"/>
      <w:r w:rsidRPr="005E0373">
        <w:rPr>
          <w:rFonts w:ascii="Times New Roman" w:hAnsi="Times New Roman"/>
          <w:sz w:val="24"/>
          <w:szCs w:val="24"/>
        </w:rPr>
        <w:t>Siu</w:t>
      </w:r>
      <w:proofErr w:type="spellEnd"/>
      <w:r w:rsidRPr="005E0373">
        <w:rPr>
          <w:rFonts w:ascii="Times New Roman" w:hAnsi="Times New Roman"/>
          <w:sz w:val="24"/>
          <w:szCs w:val="24"/>
        </w:rPr>
        <w:t xml:space="preserve">, K. C., </w:t>
      </w:r>
      <w:proofErr w:type="spellStart"/>
      <w:r w:rsidRPr="005E0373">
        <w:rPr>
          <w:rFonts w:ascii="Times New Roman" w:hAnsi="Times New Roman"/>
          <w:sz w:val="24"/>
          <w:szCs w:val="24"/>
        </w:rPr>
        <w:t>Shumway</w:t>
      </w:r>
      <w:proofErr w:type="spellEnd"/>
      <w:r w:rsidRPr="005E0373">
        <w:rPr>
          <w:rFonts w:ascii="Times New Roman" w:hAnsi="Times New Roman"/>
          <w:sz w:val="24"/>
          <w:szCs w:val="24"/>
        </w:rPr>
        <w:t>-Cook, A., &amp;</w:t>
      </w:r>
      <w:proofErr w:type="spellStart"/>
      <w:r w:rsidRPr="005E0373">
        <w:rPr>
          <w:rFonts w:ascii="Times New Roman" w:hAnsi="Times New Roman"/>
          <w:sz w:val="24"/>
          <w:szCs w:val="24"/>
        </w:rPr>
        <w:t>Woollacott</w:t>
      </w:r>
      <w:proofErr w:type="spellEnd"/>
      <w:r w:rsidRPr="005E0373">
        <w:rPr>
          <w:rFonts w:ascii="Times New Roman" w:hAnsi="Times New Roman"/>
          <w:sz w:val="24"/>
          <w:szCs w:val="24"/>
        </w:rPr>
        <w:t xml:space="preserve">, M. H. (2006).Training of balance under single-and dual-task conditions in older adults with balance </w:t>
      </w:r>
      <w:proofErr w:type="spellStart"/>
      <w:r w:rsidRPr="005E0373">
        <w:rPr>
          <w:rFonts w:ascii="Times New Roman" w:hAnsi="Times New Roman"/>
          <w:sz w:val="24"/>
          <w:szCs w:val="24"/>
        </w:rPr>
        <w:t>impairment.Physical</w:t>
      </w:r>
      <w:proofErr w:type="spellEnd"/>
      <w:r w:rsidRPr="005E0373">
        <w:rPr>
          <w:rFonts w:ascii="Times New Roman" w:hAnsi="Times New Roman"/>
          <w:sz w:val="24"/>
          <w:szCs w:val="24"/>
        </w:rPr>
        <w:t xml:space="preserve"> therapy, 86(2), 269-281.</w:t>
      </w:r>
    </w:p>
    <w:p w:rsidR="005E0373" w:rsidRPr="005E0373" w:rsidRDefault="005E0373" w:rsidP="005E0373">
      <w:pPr>
        <w:autoSpaceDE w:val="0"/>
        <w:autoSpaceDN w:val="0"/>
        <w:adjustRightInd w:val="0"/>
        <w:spacing w:line="480" w:lineRule="auto"/>
        <w:ind w:left="720" w:hanging="720"/>
        <w:jc w:val="both"/>
        <w:rPr>
          <w:rFonts w:ascii="Times New Roman" w:hAnsi="Times New Roman"/>
          <w:sz w:val="24"/>
          <w:szCs w:val="24"/>
        </w:rPr>
      </w:pPr>
      <w:proofErr w:type="spellStart"/>
      <w:proofErr w:type="gramStart"/>
      <w:r w:rsidRPr="005E0373">
        <w:rPr>
          <w:rFonts w:ascii="Times New Roman" w:hAnsi="Times New Roman"/>
          <w:sz w:val="24"/>
          <w:szCs w:val="24"/>
        </w:rPr>
        <w:t>Sinaki</w:t>
      </w:r>
      <w:proofErr w:type="spellEnd"/>
      <w:r w:rsidRPr="005E0373">
        <w:rPr>
          <w:rFonts w:ascii="Times New Roman" w:hAnsi="Times New Roman"/>
          <w:sz w:val="24"/>
          <w:szCs w:val="24"/>
        </w:rPr>
        <w:t xml:space="preserve">, M., </w:t>
      </w:r>
      <w:proofErr w:type="spellStart"/>
      <w:r w:rsidRPr="005E0373">
        <w:rPr>
          <w:rFonts w:ascii="Times New Roman" w:hAnsi="Times New Roman"/>
          <w:sz w:val="24"/>
          <w:szCs w:val="24"/>
        </w:rPr>
        <w:t>Brey</w:t>
      </w:r>
      <w:proofErr w:type="spellEnd"/>
      <w:r w:rsidRPr="005E0373">
        <w:rPr>
          <w:rFonts w:ascii="Times New Roman" w:hAnsi="Times New Roman"/>
          <w:sz w:val="24"/>
          <w:szCs w:val="24"/>
        </w:rPr>
        <w:t>, R. H., Hughes, C. A., Larson, D. R., &amp; Kaufman, K. R. (2005).</w:t>
      </w:r>
      <w:proofErr w:type="gramEnd"/>
      <w:r w:rsidRPr="005E0373">
        <w:rPr>
          <w:rFonts w:ascii="Times New Roman" w:hAnsi="Times New Roman"/>
          <w:sz w:val="24"/>
          <w:szCs w:val="24"/>
        </w:rPr>
        <w:t xml:space="preserve"> Balance disorder and increased risk of falls in osteoporosis and </w:t>
      </w:r>
      <w:proofErr w:type="spellStart"/>
      <w:r w:rsidRPr="005E0373">
        <w:rPr>
          <w:rFonts w:ascii="Times New Roman" w:hAnsi="Times New Roman"/>
          <w:sz w:val="24"/>
          <w:szCs w:val="24"/>
        </w:rPr>
        <w:t>kyphosis</w:t>
      </w:r>
      <w:proofErr w:type="spellEnd"/>
      <w:r w:rsidRPr="005E0373">
        <w:rPr>
          <w:rFonts w:ascii="Times New Roman" w:hAnsi="Times New Roman"/>
          <w:sz w:val="24"/>
          <w:szCs w:val="24"/>
        </w:rPr>
        <w:t xml:space="preserve">: significance of </w:t>
      </w:r>
      <w:proofErr w:type="spellStart"/>
      <w:r w:rsidRPr="005E0373">
        <w:rPr>
          <w:rFonts w:ascii="Times New Roman" w:hAnsi="Times New Roman"/>
          <w:sz w:val="24"/>
          <w:szCs w:val="24"/>
        </w:rPr>
        <w:t>kyphotic</w:t>
      </w:r>
      <w:proofErr w:type="spellEnd"/>
      <w:r w:rsidRPr="005E0373">
        <w:rPr>
          <w:rFonts w:ascii="Times New Roman" w:hAnsi="Times New Roman"/>
          <w:sz w:val="24"/>
          <w:szCs w:val="24"/>
        </w:rPr>
        <w:t xml:space="preserve"> posture and muscle strength. </w:t>
      </w:r>
      <w:proofErr w:type="gramStart"/>
      <w:r w:rsidRPr="005E0373">
        <w:rPr>
          <w:rFonts w:ascii="Times New Roman" w:hAnsi="Times New Roman"/>
          <w:sz w:val="24"/>
          <w:szCs w:val="24"/>
        </w:rPr>
        <w:t>Osteoporosis international, 16(8), 1004-1010.</w:t>
      </w:r>
      <w:proofErr w:type="gramEnd"/>
    </w:p>
    <w:p w:rsidR="005E0373" w:rsidRPr="005E0373" w:rsidRDefault="005E0373" w:rsidP="005E0373">
      <w:pPr>
        <w:autoSpaceDE w:val="0"/>
        <w:autoSpaceDN w:val="0"/>
        <w:adjustRightInd w:val="0"/>
        <w:spacing w:line="480" w:lineRule="auto"/>
        <w:ind w:left="720" w:hanging="720"/>
        <w:jc w:val="both"/>
        <w:rPr>
          <w:rFonts w:ascii="Times New Roman" w:hAnsi="Times New Roman"/>
          <w:sz w:val="24"/>
          <w:szCs w:val="24"/>
        </w:rPr>
      </w:pPr>
      <w:r w:rsidRPr="005E0373">
        <w:rPr>
          <w:rFonts w:ascii="Times New Roman" w:hAnsi="Times New Roman"/>
          <w:sz w:val="24"/>
          <w:szCs w:val="24"/>
        </w:rPr>
        <w:t xml:space="preserve">Singh, N. K., &amp; Barman, A. (2013).Characterizing the frequency tuning properties of air-conduction ocular vestibular evoked myogenic potentials in healthy </w:t>
      </w:r>
      <w:proofErr w:type="spellStart"/>
      <w:r w:rsidRPr="005E0373">
        <w:rPr>
          <w:rFonts w:ascii="Times New Roman" w:hAnsi="Times New Roman"/>
          <w:sz w:val="24"/>
          <w:szCs w:val="24"/>
        </w:rPr>
        <w:t>individuals.International</w:t>
      </w:r>
      <w:proofErr w:type="spellEnd"/>
      <w:r w:rsidRPr="005E0373">
        <w:rPr>
          <w:rFonts w:ascii="Times New Roman" w:hAnsi="Times New Roman"/>
          <w:sz w:val="24"/>
          <w:szCs w:val="24"/>
        </w:rPr>
        <w:t xml:space="preserve"> journal of audiology, 52(12), 849-854.</w:t>
      </w:r>
    </w:p>
    <w:p w:rsidR="005E0373" w:rsidRPr="005E0373" w:rsidRDefault="005E0373" w:rsidP="005E0373">
      <w:pPr>
        <w:autoSpaceDE w:val="0"/>
        <w:autoSpaceDN w:val="0"/>
        <w:adjustRightInd w:val="0"/>
        <w:spacing w:line="480" w:lineRule="auto"/>
        <w:ind w:left="720" w:hanging="720"/>
        <w:jc w:val="both"/>
        <w:rPr>
          <w:rFonts w:ascii="Times New Roman" w:hAnsi="Times New Roman"/>
          <w:sz w:val="24"/>
          <w:szCs w:val="24"/>
        </w:rPr>
      </w:pPr>
      <w:r w:rsidRPr="005E0373">
        <w:rPr>
          <w:rFonts w:ascii="Times New Roman" w:hAnsi="Times New Roman"/>
          <w:sz w:val="24"/>
          <w:szCs w:val="24"/>
        </w:rPr>
        <w:t>Suzuki, T., Kim, H., Yoshida, H., &amp;</w:t>
      </w:r>
      <w:proofErr w:type="spellStart"/>
      <w:r w:rsidRPr="005E0373">
        <w:rPr>
          <w:rFonts w:ascii="Times New Roman" w:hAnsi="Times New Roman"/>
          <w:sz w:val="24"/>
          <w:szCs w:val="24"/>
        </w:rPr>
        <w:t>Ishizaki</w:t>
      </w:r>
      <w:proofErr w:type="spellEnd"/>
      <w:r w:rsidRPr="005E0373">
        <w:rPr>
          <w:rFonts w:ascii="Times New Roman" w:hAnsi="Times New Roman"/>
          <w:sz w:val="24"/>
          <w:szCs w:val="24"/>
        </w:rPr>
        <w:t xml:space="preserve">, T. (2004).Randomized controlled trial of exercise intervention for the prevention of falls in community-dwelling elderly Japanese </w:t>
      </w:r>
      <w:proofErr w:type="spellStart"/>
      <w:r w:rsidRPr="005E0373">
        <w:rPr>
          <w:rFonts w:ascii="Times New Roman" w:hAnsi="Times New Roman"/>
          <w:sz w:val="24"/>
          <w:szCs w:val="24"/>
        </w:rPr>
        <w:t>women.Journal</w:t>
      </w:r>
      <w:proofErr w:type="spellEnd"/>
      <w:r w:rsidRPr="005E0373">
        <w:rPr>
          <w:rFonts w:ascii="Times New Roman" w:hAnsi="Times New Roman"/>
          <w:sz w:val="24"/>
          <w:szCs w:val="24"/>
        </w:rPr>
        <w:t xml:space="preserve"> of bone and mineral metabolism, 22(6), 602-611.</w:t>
      </w:r>
    </w:p>
    <w:p w:rsidR="005E0373" w:rsidRPr="005E0373" w:rsidRDefault="005E0373" w:rsidP="005E0373">
      <w:pPr>
        <w:autoSpaceDE w:val="0"/>
        <w:autoSpaceDN w:val="0"/>
        <w:adjustRightInd w:val="0"/>
        <w:spacing w:line="480" w:lineRule="auto"/>
        <w:ind w:left="720" w:hanging="720"/>
        <w:jc w:val="both"/>
        <w:rPr>
          <w:rFonts w:ascii="Times New Roman" w:hAnsi="Times New Roman"/>
          <w:sz w:val="24"/>
          <w:szCs w:val="24"/>
        </w:rPr>
      </w:pPr>
      <w:proofErr w:type="spellStart"/>
      <w:r w:rsidRPr="005E0373">
        <w:rPr>
          <w:rFonts w:ascii="Times New Roman" w:hAnsi="Times New Roman"/>
          <w:sz w:val="24"/>
          <w:szCs w:val="24"/>
        </w:rPr>
        <w:t>Vergara</w:t>
      </w:r>
      <w:proofErr w:type="spellEnd"/>
      <w:r w:rsidRPr="005E0373">
        <w:rPr>
          <w:rFonts w:ascii="Times New Roman" w:hAnsi="Times New Roman"/>
          <w:sz w:val="24"/>
          <w:szCs w:val="24"/>
        </w:rPr>
        <w:t xml:space="preserve">, C., </w:t>
      </w:r>
      <w:proofErr w:type="spellStart"/>
      <w:r w:rsidRPr="005E0373">
        <w:rPr>
          <w:rFonts w:ascii="Times New Roman" w:hAnsi="Times New Roman"/>
          <w:sz w:val="24"/>
          <w:szCs w:val="24"/>
        </w:rPr>
        <w:t>Latorre</w:t>
      </w:r>
      <w:proofErr w:type="spellEnd"/>
      <w:r w:rsidRPr="005E0373">
        <w:rPr>
          <w:rFonts w:ascii="Times New Roman" w:hAnsi="Times New Roman"/>
          <w:sz w:val="24"/>
          <w:szCs w:val="24"/>
        </w:rPr>
        <w:t xml:space="preserve">, R., </w:t>
      </w:r>
      <w:proofErr w:type="spellStart"/>
      <w:r w:rsidRPr="005E0373">
        <w:rPr>
          <w:rFonts w:ascii="Times New Roman" w:hAnsi="Times New Roman"/>
          <w:sz w:val="24"/>
          <w:szCs w:val="24"/>
        </w:rPr>
        <w:t>Marrion</w:t>
      </w:r>
      <w:proofErr w:type="spellEnd"/>
      <w:r w:rsidRPr="005E0373">
        <w:rPr>
          <w:rFonts w:ascii="Times New Roman" w:hAnsi="Times New Roman"/>
          <w:sz w:val="24"/>
          <w:szCs w:val="24"/>
        </w:rPr>
        <w:t xml:space="preserve">, N. V., &amp; Adelman, J. P. (1998).Calcium-activated potassium </w:t>
      </w:r>
      <w:proofErr w:type="spellStart"/>
      <w:r w:rsidRPr="005E0373">
        <w:rPr>
          <w:rFonts w:ascii="Times New Roman" w:hAnsi="Times New Roman"/>
          <w:sz w:val="24"/>
          <w:szCs w:val="24"/>
        </w:rPr>
        <w:t>channels.Current</w:t>
      </w:r>
      <w:proofErr w:type="spellEnd"/>
      <w:r w:rsidRPr="005E0373">
        <w:rPr>
          <w:rFonts w:ascii="Times New Roman" w:hAnsi="Times New Roman"/>
          <w:sz w:val="24"/>
          <w:szCs w:val="24"/>
        </w:rPr>
        <w:t xml:space="preserve"> opinion in neurobiology, 8(3), 321-329.</w:t>
      </w:r>
    </w:p>
    <w:p w:rsidR="005E0373" w:rsidRPr="005E0373" w:rsidRDefault="005E0373" w:rsidP="005E0373">
      <w:pPr>
        <w:autoSpaceDE w:val="0"/>
        <w:autoSpaceDN w:val="0"/>
        <w:adjustRightInd w:val="0"/>
        <w:spacing w:line="480" w:lineRule="auto"/>
        <w:ind w:left="720" w:hanging="720"/>
        <w:jc w:val="both"/>
        <w:rPr>
          <w:rFonts w:ascii="Times New Roman" w:hAnsi="Times New Roman"/>
          <w:sz w:val="24"/>
          <w:szCs w:val="24"/>
        </w:rPr>
      </w:pPr>
      <w:proofErr w:type="spellStart"/>
      <w:proofErr w:type="gramStart"/>
      <w:r w:rsidRPr="005E0373">
        <w:rPr>
          <w:rFonts w:ascii="Times New Roman" w:hAnsi="Times New Roman"/>
          <w:sz w:val="24"/>
          <w:szCs w:val="24"/>
        </w:rPr>
        <w:lastRenderedPageBreak/>
        <w:t>Vibert</w:t>
      </w:r>
      <w:proofErr w:type="spellEnd"/>
      <w:r w:rsidRPr="005E0373">
        <w:rPr>
          <w:rFonts w:ascii="Times New Roman" w:hAnsi="Times New Roman"/>
          <w:sz w:val="24"/>
          <w:szCs w:val="24"/>
        </w:rPr>
        <w:t xml:space="preserve">, D., Sans, A., </w:t>
      </w:r>
      <w:proofErr w:type="spellStart"/>
      <w:r w:rsidRPr="005E0373">
        <w:rPr>
          <w:rFonts w:ascii="Times New Roman" w:hAnsi="Times New Roman"/>
          <w:sz w:val="24"/>
          <w:szCs w:val="24"/>
        </w:rPr>
        <w:t>Kompis</w:t>
      </w:r>
      <w:proofErr w:type="spellEnd"/>
      <w:r w:rsidRPr="005E0373">
        <w:rPr>
          <w:rFonts w:ascii="Times New Roman" w:hAnsi="Times New Roman"/>
          <w:sz w:val="24"/>
          <w:szCs w:val="24"/>
        </w:rPr>
        <w:t xml:space="preserve">, M., </w:t>
      </w:r>
      <w:proofErr w:type="spellStart"/>
      <w:r w:rsidRPr="005E0373">
        <w:rPr>
          <w:rFonts w:ascii="Times New Roman" w:hAnsi="Times New Roman"/>
          <w:sz w:val="24"/>
          <w:szCs w:val="24"/>
        </w:rPr>
        <w:t>Travo</w:t>
      </w:r>
      <w:proofErr w:type="spellEnd"/>
      <w:r w:rsidRPr="005E0373">
        <w:rPr>
          <w:rFonts w:ascii="Times New Roman" w:hAnsi="Times New Roman"/>
          <w:sz w:val="24"/>
          <w:szCs w:val="24"/>
        </w:rPr>
        <w:t xml:space="preserve">, C., </w:t>
      </w:r>
      <w:proofErr w:type="spellStart"/>
      <w:r w:rsidRPr="005E0373">
        <w:rPr>
          <w:rFonts w:ascii="Times New Roman" w:hAnsi="Times New Roman"/>
          <w:sz w:val="24"/>
          <w:szCs w:val="24"/>
        </w:rPr>
        <w:t>Mühlbauer</w:t>
      </w:r>
      <w:proofErr w:type="spellEnd"/>
      <w:r w:rsidRPr="005E0373">
        <w:rPr>
          <w:rFonts w:ascii="Times New Roman" w:hAnsi="Times New Roman"/>
          <w:sz w:val="24"/>
          <w:szCs w:val="24"/>
        </w:rPr>
        <w:t xml:space="preserve">, R. C., </w:t>
      </w:r>
      <w:proofErr w:type="spellStart"/>
      <w:r w:rsidRPr="005E0373">
        <w:rPr>
          <w:rFonts w:ascii="Times New Roman" w:hAnsi="Times New Roman"/>
          <w:sz w:val="24"/>
          <w:szCs w:val="24"/>
        </w:rPr>
        <w:t>Tschudi</w:t>
      </w:r>
      <w:proofErr w:type="spellEnd"/>
      <w:r w:rsidRPr="005E0373">
        <w:rPr>
          <w:rFonts w:ascii="Times New Roman" w:hAnsi="Times New Roman"/>
          <w:sz w:val="24"/>
          <w:szCs w:val="24"/>
        </w:rPr>
        <w:t>, I &amp;</w:t>
      </w:r>
      <w:proofErr w:type="spellStart"/>
      <w:r w:rsidRPr="005E0373">
        <w:rPr>
          <w:rFonts w:ascii="Times New Roman" w:hAnsi="Times New Roman"/>
          <w:sz w:val="24"/>
          <w:szCs w:val="24"/>
        </w:rPr>
        <w:t>Häusler</w:t>
      </w:r>
      <w:proofErr w:type="spellEnd"/>
      <w:r w:rsidRPr="005E0373">
        <w:rPr>
          <w:rFonts w:ascii="Times New Roman" w:hAnsi="Times New Roman"/>
          <w:sz w:val="24"/>
          <w:szCs w:val="24"/>
        </w:rPr>
        <w:t>, R. (2008).</w:t>
      </w:r>
      <w:proofErr w:type="gramEnd"/>
      <w:r w:rsidRPr="005E0373">
        <w:rPr>
          <w:rFonts w:ascii="Times New Roman" w:hAnsi="Times New Roman"/>
          <w:sz w:val="24"/>
          <w:szCs w:val="24"/>
        </w:rPr>
        <w:t xml:space="preserve"> </w:t>
      </w:r>
      <w:proofErr w:type="spellStart"/>
      <w:r w:rsidRPr="005E0373">
        <w:rPr>
          <w:rFonts w:ascii="Times New Roman" w:hAnsi="Times New Roman"/>
          <w:sz w:val="24"/>
          <w:szCs w:val="24"/>
        </w:rPr>
        <w:t>Ultrastructural</w:t>
      </w:r>
      <w:proofErr w:type="spellEnd"/>
      <w:r w:rsidRPr="005E0373">
        <w:rPr>
          <w:rFonts w:ascii="Times New Roman" w:hAnsi="Times New Roman"/>
          <w:sz w:val="24"/>
          <w:szCs w:val="24"/>
        </w:rPr>
        <w:t xml:space="preserve"> changes in </w:t>
      </w:r>
      <w:proofErr w:type="spellStart"/>
      <w:r w:rsidRPr="005E0373">
        <w:rPr>
          <w:rFonts w:ascii="Times New Roman" w:hAnsi="Times New Roman"/>
          <w:sz w:val="24"/>
          <w:szCs w:val="24"/>
        </w:rPr>
        <w:t>otoconia</w:t>
      </w:r>
      <w:proofErr w:type="spellEnd"/>
      <w:r w:rsidRPr="005E0373">
        <w:rPr>
          <w:rFonts w:ascii="Times New Roman" w:hAnsi="Times New Roman"/>
          <w:sz w:val="24"/>
          <w:szCs w:val="24"/>
        </w:rPr>
        <w:t xml:space="preserve"> of osteoporotic rats. Audiology and </w:t>
      </w:r>
      <w:proofErr w:type="spellStart"/>
      <w:r w:rsidRPr="005E0373">
        <w:rPr>
          <w:rFonts w:ascii="Times New Roman" w:hAnsi="Times New Roman"/>
          <w:sz w:val="24"/>
          <w:szCs w:val="24"/>
        </w:rPr>
        <w:t>Neurotology</w:t>
      </w:r>
      <w:proofErr w:type="spellEnd"/>
      <w:r w:rsidRPr="005E0373">
        <w:rPr>
          <w:rFonts w:ascii="Times New Roman" w:hAnsi="Times New Roman"/>
          <w:sz w:val="24"/>
          <w:szCs w:val="24"/>
        </w:rPr>
        <w:t>, 13(5), 293-301.</w:t>
      </w:r>
    </w:p>
    <w:p w:rsidR="005E0373" w:rsidRPr="005E0373" w:rsidRDefault="005E0373" w:rsidP="005E0373">
      <w:pPr>
        <w:autoSpaceDE w:val="0"/>
        <w:autoSpaceDN w:val="0"/>
        <w:adjustRightInd w:val="0"/>
        <w:spacing w:line="480" w:lineRule="auto"/>
        <w:ind w:left="720" w:hanging="720"/>
        <w:jc w:val="both"/>
        <w:rPr>
          <w:rFonts w:ascii="Times New Roman" w:hAnsi="Times New Roman"/>
          <w:sz w:val="24"/>
          <w:szCs w:val="24"/>
        </w:rPr>
      </w:pPr>
      <w:proofErr w:type="gramStart"/>
      <w:r w:rsidRPr="005E0373">
        <w:rPr>
          <w:rFonts w:ascii="Times New Roman" w:hAnsi="Times New Roman"/>
          <w:sz w:val="24"/>
          <w:szCs w:val="24"/>
        </w:rPr>
        <w:t>WHO</w:t>
      </w:r>
      <w:proofErr w:type="gramEnd"/>
      <w:r w:rsidRPr="005E0373">
        <w:rPr>
          <w:rFonts w:ascii="Times New Roman" w:hAnsi="Times New Roman"/>
          <w:sz w:val="24"/>
          <w:szCs w:val="24"/>
        </w:rPr>
        <w:t xml:space="preserve"> Scientific Group. </w:t>
      </w:r>
      <w:proofErr w:type="gramStart"/>
      <w:r w:rsidRPr="005E0373">
        <w:rPr>
          <w:rFonts w:ascii="Times New Roman" w:hAnsi="Times New Roman"/>
          <w:sz w:val="24"/>
          <w:szCs w:val="24"/>
        </w:rPr>
        <w:t>(2007). Assessment of osteoporosis at the primary health care level Geneva (Switzerland).World Health Organization.</w:t>
      </w:r>
      <w:proofErr w:type="gramEnd"/>
    </w:p>
    <w:p w:rsidR="005E0373" w:rsidRPr="005E0373" w:rsidRDefault="005E0373" w:rsidP="005E0373">
      <w:pPr>
        <w:autoSpaceDE w:val="0"/>
        <w:autoSpaceDN w:val="0"/>
        <w:adjustRightInd w:val="0"/>
        <w:spacing w:line="480" w:lineRule="auto"/>
        <w:ind w:left="720" w:hanging="720"/>
        <w:jc w:val="both"/>
        <w:rPr>
          <w:rFonts w:ascii="Times New Roman" w:hAnsi="Times New Roman"/>
          <w:sz w:val="24"/>
          <w:szCs w:val="24"/>
        </w:rPr>
      </w:pPr>
      <w:proofErr w:type="gramStart"/>
      <w:r w:rsidRPr="005E0373">
        <w:rPr>
          <w:rFonts w:ascii="Times New Roman" w:hAnsi="Times New Roman"/>
          <w:sz w:val="24"/>
          <w:szCs w:val="24"/>
        </w:rPr>
        <w:t>World Health Organization (2004).WHO scientific group on the assessment of osteoporosis at primary health care level.</w:t>
      </w:r>
      <w:proofErr w:type="gramEnd"/>
      <w:r w:rsidRPr="005E0373">
        <w:rPr>
          <w:rFonts w:ascii="Times New Roman" w:hAnsi="Times New Roman"/>
          <w:sz w:val="24"/>
          <w:szCs w:val="24"/>
        </w:rPr>
        <w:t xml:space="preserve"> </w:t>
      </w:r>
      <w:proofErr w:type="gramStart"/>
      <w:r w:rsidRPr="005E0373">
        <w:rPr>
          <w:rFonts w:ascii="Times New Roman" w:hAnsi="Times New Roman"/>
          <w:sz w:val="24"/>
          <w:szCs w:val="24"/>
        </w:rPr>
        <w:t>In Summary meeting report, 5-7.</w:t>
      </w:r>
      <w:proofErr w:type="gramEnd"/>
    </w:p>
    <w:p w:rsidR="00C73AED" w:rsidRPr="00195A9F" w:rsidRDefault="00C73AED">
      <w:pPr>
        <w:rPr>
          <w:rFonts w:ascii="Times New Roman" w:hAnsi="Times New Roman"/>
          <w:b/>
          <w:bCs/>
          <w:sz w:val="24"/>
          <w:szCs w:val="24"/>
        </w:rPr>
      </w:pPr>
    </w:p>
    <w:sectPr w:rsidR="00C73AED" w:rsidRPr="00195A9F" w:rsidSect="007B676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F77" w:rsidRDefault="00550F77" w:rsidP="002E7FC8">
      <w:pPr>
        <w:spacing w:after="0" w:line="240" w:lineRule="auto"/>
      </w:pPr>
      <w:r>
        <w:separator/>
      </w:r>
    </w:p>
  </w:endnote>
  <w:endnote w:type="continuationSeparator" w:id="0">
    <w:p w:rsidR="00550F77" w:rsidRDefault="00550F77" w:rsidP="002E7F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F77" w:rsidRDefault="00550F77" w:rsidP="002E7FC8">
      <w:pPr>
        <w:spacing w:after="0" w:line="240" w:lineRule="auto"/>
      </w:pPr>
      <w:r>
        <w:separator/>
      </w:r>
    </w:p>
  </w:footnote>
  <w:footnote w:type="continuationSeparator" w:id="0">
    <w:p w:rsidR="00550F77" w:rsidRDefault="00550F77" w:rsidP="002E7F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977"/>
    <w:multiLevelType w:val="hybridMultilevel"/>
    <w:tmpl w:val="F036FAB8"/>
    <w:lvl w:ilvl="0" w:tplc="4009000F">
      <w:start w:val="1"/>
      <w:numFmt w:val="decimal"/>
      <w:lvlText w:val="%1."/>
      <w:lvlJc w:val="left"/>
      <w:pPr>
        <w:ind w:left="786" w:hanging="360"/>
      </w:pPr>
      <w:rPr>
        <w:rFonts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1">
    <w:nsid w:val="0AEF1240"/>
    <w:multiLevelType w:val="hybridMultilevel"/>
    <w:tmpl w:val="60A657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DD97DBF"/>
    <w:multiLevelType w:val="hybridMultilevel"/>
    <w:tmpl w:val="D6700FF8"/>
    <w:lvl w:ilvl="0" w:tplc="01BE172A">
      <w:start w:val="1"/>
      <w:numFmt w:val="decimal"/>
      <w:lvlText w:val="%1."/>
      <w:lvlJc w:val="left"/>
      <w:pPr>
        <w:ind w:left="720" w:hanging="360"/>
      </w:pPr>
      <w:rPr>
        <w:rFonts w:hint="default"/>
        <w:i w:val="0"/>
        <w:iC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1F77165"/>
    <w:multiLevelType w:val="multilevel"/>
    <w:tmpl w:val="DDC21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F2597B"/>
    <w:multiLevelType w:val="hybridMultilevel"/>
    <w:tmpl w:val="F1E0AEB8"/>
    <w:lvl w:ilvl="0" w:tplc="72A23934">
      <w:start w:val="1"/>
      <w:numFmt w:val="lowerLetter"/>
      <w:lvlText w:val="%1."/>
      <w:lvlJc w:val="left"/>
      <w:pPr>
        <w:tabs>
          <w:tab w:val="num" w:pos="1070"/>
        </w:tabs>
        <w:ind w:left="107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1B8E55F6"/>
    <w:multiLevelType w:val="hybridMultilevel"/>
    <w:tmpl w:val="94D4F17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D003082"/>
    <w:multiLevelType w:val="hybridMultilevel"/>
    <w:tmpl w:val="68E48F7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4E949AD"/>
    <w:multiLevelType w:val="hybridMultilevel"/>
    <w:tmpl w:val="3DE4DB52"/>
    <w:lvl w:ilvl="0" w:tplc="4AAE66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0B6399"/>
    <w:multiLevelType w:val="hybridMultilevel"/>
    <w:tmpl w:val="607E4A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782546"/>
    <w:multiLevelType w:val="hybridMultilevel"/>
    <w:tmpl w:val="744C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676DB5"/>
    <w:multiLevelType w:val="hybridMultilevel"/>
    <w:tmpl w:val="347AA1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A8180B"/>
    <w:multiLevelType w:val="hybridMultilevel"/>
    <w:tmpl w:val="392E16B0"/>
    <w:lvl w:ilvl="0" w:tplc="10341E48">
      <w:start w:val="1"/>
      <w:numFmt w:val="decimal"/>
      <w:lvlText w:val="%1."/>
      <w:lvlJc w:val="left"/>
      <w:pPr>
        <w:ind w:left="720" w:hanging="360"/>
      </w:pPr>
      <w:rPr>
        <w:rFonts w:cs="Arial Unicode MS" w:hint="eastAsia"/>
        <w:bCs w:val="0"/>
        <w:iCs w:val="0"/>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0ED410C"/>
    <w:multiLevelType w:val="hybridMultilevel"/>
    <w:tmpl w:val="E9EEE744"/>
    <w:lvl w:ilvl="0" w:tplc="56E63A8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50F3DFB"/>
    <w:multiLevelType w:val="multilevel"/>
    <w:tmpl w:val="794E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03540D"/>
    <w:multiLevelType w:val="hybridMultilevel"/>
    <w:tmpl w:val="68E48F7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6AE75D1"/>
    <w:multiLevelType w:val="hybridMultilevel"/>
    <w:tmpl w:val="2B12A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6B2FFA"/>
    <w:multiLevelType w:val="hybridMultilevel"/>
    <w:tmpl w:val="31FE672C"/>
    <w:lvl w:ilvl="0" w:tplc="10341E48">
      <w:start w:val="1"/>
      <w:numFmt w:val="decimal"/>
      <w:lvlText w:val="%1."/>
      <w:lvlJc w:val="left"/>
      <w:pPr>
        <w:ind w:left="720" w:hanging="360"/>
      </w:pPr>
      <w:rPr>
        <w:rFonts w:cs="Arial Unicode MS" w:hint="eastAsia"/>
        <w:bCs w:val="0"/>
        <w:iCs w:val="0"/>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B77110D"/>
    <w:multiLevelType w:val="hybridMultilevel"/>
    <w:tmpl w:val="CB00579E"/>
    <w:lvl w:ilvl="0" w:tplc="4009000B">
      <w:start w:val="1"/>
      <w:numFmt w:val="bullet"/>
      <w:lvlText w:val=""/>
      <w:lvlJc w:val="left"/>
      <w:pPr>
        <w:ind w:left="786" w:hanging="360"/>
      </w:pPr>
      <w:rPr>
        <w:rFonts w:ascii="Wingdings" w:hAnsi="Wingdings"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18">
    <w:nsid w:val="4CAD4158"/>
    <w:multiLevelType w:val="multilevel"/>
    <w:tmpl w:val="27A06B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CD1F05"/>
    <w:multiLevelType w:val="multilevel"/>
    <w:tmpl w:val="863C3F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1F56F21"/>
    <w:multiLevelType w:val="hybridMultilevel"/>
    <w:tmpl w:val="2CD2C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2A078A7"/>
    <w:multiLevelType w:val="hybridMultilevel"/>
    <w:tmpl w:val="DE2A9E0E"/>
    <w:lvl w:ilvl="0" w:tplc="1B447F4A">
      <w:start w:val="1"/>
      <w:numFmt w:val="decimal"/>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2">
    <w:nsid w:val="56BB1A70"/>
    <w:multiLevelType w:val="hybridMultilevel"/>
    <w:tmpl w:val="B3900D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8EB7339"/>
    <w:multiLevelType w:val="hybridMultilevel"/>
    <w:tmpl w:val="424CB8E2"/>
    <w:lvl w:ilvl="0" w:tplc="10341E48">
      <w:start w:val="1"/>
      <w:numFmt w:val="decimal"/>
      <w:lvlText w:val="%1."/>
      <w:lvlJc w:val="left"/>
      <w:pPr>
        <w:ind w:left="720" w:hanging="360"/>
      </w:pPr>
      <w:rPr>
        <w:rFonts w:cs="Arial Unicode MS" w:hint="eastAsia"/>
        <w:bCs w:val="0"/>
        <w:iCs w:val="0"/>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8EB7C69"/>
    <w:multiLevelType w:val="hybridMultilevel"/>
    <w:tmpl w:val="4D1694B4"/>
    <w:lvl w:ilvl="0" w:tplc="527E3B1A">
      <w:start w:val="1"/>
      <w:numFmt w:val="decimal"/>
      <w:lvlText w:val="%1."/>
      <w:lvlJc w:val="left"/>
      <w:pPr>
        <w:tabs>
          <w:tab w:val="num" w:pos="720"/>
        </w:tabs>
        <w:ind w:left="720" w:hanging="360"/>
      </w:pPr>
      <w:rPr>
        <w:rFonts w:cs="Arial Unicode MS" w:hint="eastAsia"/>
        <w:bCs w:val="0"/>
        <w:i w:val="0"/>
        <w:iCs/>
        <w:szCs w:val="22"/>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B837A72"/>
    <w:multiLevelType w:val="hybridMultilevel"/>
    <w:tmpl w:val="500C7690"/>
    <w:lvl w:ilvl="0" w:tplc="B77A7246">
      <w:start w:val="1"/>
      <w:numFmt w:val="decimal"/>
      <w:lvlText w:val="%1."/>
      <w:lvlJc w:val="left"/>
      <w:pPr>
        <w:ind w:left="360" w:hanging="360"/>
      </w:pPr>
      <w:rPr>
        <w:rFonts w:ascii="Times New Roman" w:hAnsi="Times New Roman" w:cs="Times New Roman"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E3148BD"/>
    <w:multiLevelType w:val="hybridMultilevel"/>
    <w:tmpl w:val="09AC73B0"/>
    <w:lvl w:ilvl="0" w:tplc="23944CE2">
      <w:start w:val="1"/>
      <w:numFmt w:val="decimal"/>
      <w:lvlText w:val="%1."/>
      <w:lvlJc w:val="left"/>
      <w:pPr>
        <w:ind w:left="2204" w:hanging="360"/>
      </w:pPr>
      <w:rPr>
        <w:rFonts w:hint="default"/>
      </w:rPr>
    </w:lvl>
    <w:lvl w:ilvl="1" w:tplc="40090019" w:tentative="1">
      <w:start w:val="1"/>
      <w:numFmt w:val="lowerLetter"/>
      <w:lvlText w:val="%2."/>
      <w:lvlJc w:val="left"/>
      <w:pPr>
        <w:ind w:left="2924" w:hanging="360"/>
      </w:pPr>
    </w:lvl>
    <w:lvl w:ilvl="2" w:tplc="4009001B" w:tentative="1">
      <w:start w:val="1"/>
      <w:numFmt w:val="lowerRoman"/>
      <w:lvlText w:val="%3."/>
      <w:lvlJc w:val="right"/>
      <w:pPr>
        <w:ind w:left="3644" w:hanging="180"/>
      </w:pPr>
    </w:lvl>
    <w:lvl w:ilvl="3" w:tplc="4009000F" w:tentative="1">
      <w:start w:val="1"/>
      <w:numFmt w:val="decimal"/>
      <w:lvlText w:val="%4."/>
      <w:lvlJc w:val="left"/>
      <w:pPr>
        <w:ind w:left="4364" w:hanging="360"/>
      </w:pPr>
    </w:lvl>
    <w:lvl w:ilvl="4" w:tplc="40090019" w:tentative="1">
      <w:start w:val="1"/>
      <w:numFmt w:val="lowerLetter"/>
      <w:lvlText w:val="%5."/>
      <w:lvlJc w:val="left"/>
      <w:pPr>
        <w:ind w:left="5084" w:hanging="360"/>
      </w:pPr>
    </w:lvl>
    <w:lvl w:ilvl="5" w:tplc="4009001B" w:tentative="1">
      <w:start w:val="1"/>
      <w:numFmt w:val="lowerRoman"/>
      <w:lvlText w:val="%6."/>
      <w:lvlJc w:val="right"/>
      <w:pPr>
        <w:ind w:left="5804" w:hanging="180"/>
      </w:pPr>
    </w:lvl>
    <w:lvl w:ilvl="6" w:tplc="4009000F" w:tentative="1">
      <w:start w:val="1"/>
      <w:numFmt w:val="decimal"/>
      <w:lvlText w:val="%7."/>
      <w:lvlJc w:val="left"/>
      <w:pPr>
        <w:ind w:left="6524" w:hanging="360"/>
      </w:pPr>
    </w:lvl>
    <w:lvl w:ilvl="7" w:tplc="40090019" w:tentative="1">
      <w:start w:val="1"/>
      <w:numFmt w:val="lowerLetter"/>
      <w:lvlText w:val="%8."/>
      <w:lvlJc w:val="left"/>
      <w:pPr>
        <w:ind w:left="7244" w:hanging="360"/>
      </w:pPr>
    </w:lvl>
    <w:lvl w:ilvl="8" w:tplc="4009001B" w:tentative="1">
      <w:start w:val="1"/>
      <w:numFmt w:val="lowerRoman"/>
      <w:lvlText w:val="%9."/>
      <w:lvlJc w:val="right"/>
      <w:pPr>
        <w:ind w:left="7964" w:hanging="180"/>
      </w:pPr>
    </w:lvl>
  </w:abstractNum>
  <w:abstractNum w:abstractNumId="27">
    <w:nsid w:val="61345EBC"/>
    <w:multiLevelType w:val="hybridMultilevel"/>
    <w:tmpl w:val="3488BAEA"/>
    <w:lvl w:ilvl="0" w:tplc="484C107E">
      <w:start w:val="1"/>
      <w:numFmt w:val="decimal"/>
      <w:lvlText w:val="%1."/>
      <w:lvlJc w:val="left"/>
      <w:pPr>
        <w:ind w:left="1404" w:hanging="360"/>
      </w:pPr>
      <w:rPr>
        <w:rFonts w:hint="default"/>
      </w:rPr>
    </w:lvl>
    <w:lvl w:ilvl="1" w:tplc="40090019" w:tentative="1">
      <w:start w:val="1"/>
      <w:numFmt w:val="lowerLetter"/>
      <w:lvlText w:val="%2."/>
      <w:lvlJc w:val="left"/>
      <w:pPr>
        <w:ind w:left="2124" w:hanging="360"/>
      </w:pPr>
    </w:lvl>
    <w:lvl w:ilvl="2" w:tplc="4009001B" w:tentative="1">
      <w:start w:val="1"/>
      <w:numFmt w:val="lowerRoman"/>
      <w:lvlText w:val="%3."/>
      <w:lvlJc w:val="right"/>
      <w:pPr>
        <w:ind w:left="2844" w:hanging="180"/>
      </w:pPr>
    </w:lvl>
    <w:lvl w:ilvl="3" w:tplc="4009000F" w:tentative="1">
      <w:start w:val="1"/>
      <w:numFmt w:val="decimal"/>
      <w:lvlText w:val="%4."/>
      <w:lvlJc w:val="left"/>
      <w:pPr>
        <w:ind w:left="3564" w:hanging="360"/>
      </w:pPr>
    </w:lvl>
    <w:lvl w:ilvl="4" w:tplc="40090019" w:tentative="1">
      <w:start w:val="1"/>
      <w:numFmt w:val="lowerLetter"/>
      <w:lvlText w:val="%5."/>
      <w:lvlJc w:val="left"/>
      <w:pPr>
        <w:ind w:left="4284" w:hanging="360"/>
      </w:pPr>
    </w:lvl>
    <w:lvl w:ilvl="5" w:tplc="4009001B" w:tentative="1">
      <w:start w:val="1"/>
      <w:numFmt w:val="lowerRoman"/>
      <w:lvlText w:val="%6."/>
      <w:lvlJc w:val="right"/>
      <w:pPr>
        <w:ind w:left="5004" w:hanging="180"/>
      </w:pPr>
    </w:lvl>
    <w:lvl w:ilvl="6" w:tplc="4009000F" w:tentative="1">
      <w:start w:val="1"/>
      <w:numFmt w:val="decimal"/>
      <w:lvlText w:val="%7."/>
      <w:lvlJc w:val="left"/>
      <w:pPr>
        <w:ind w:left="5724" w:hanging="360"/>
      </w:pPr>
    </w:lvl>
    <w:lvl w:ilvl="7" w:tplc="40090019" w:tentative="1">
      <w:start w:val="1"/>
      <w:numFmt w:val="lowerLetter"/>
      <w:lvlText w:val="%8."/>
      <w:lvlJc w:val="left"/>
      <w:pPr>
        <w:ind w:left="6444" w:hanging="360"/>
      </w:pPr>
    </w:lvl>
    <w:lvl w:ilvl="8" w:tplc="4009001B" w:tentative="1">
      <w:start w:val="1"/>
      <w:numFmt w:val="lowerRoman"/>
      <w:lvlText w:val="%9."/>
      <w:lvlJc w:val="right"/>
      <w:pPr>
        <w:ind w:left="7164" w:hanging="180"/>
      </w:pPr>
    </w:lvl>
  </w:abstractNum>
  <w:abstractNum w:abstractNumId="28">
    <w:nsid w:val="61607C17"/>
    <w:multiLevelType w:val="hybridMultilevel"/>
    <w:tmpl w:val="8160BC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4BD61B6"/>
    <w:multiLevelType w:val="hybridMultilevel"/>
    <w:tmpl w:val="7C184A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5BF1CA5"/>
    <w:multiLevelType w:val="hybridMultilevel"/>
    <w:tmpl w:val="87509C76"/>
    <w:lvl w:ilvl="0" w:tplc="206EA760">
      <w:start w:val="1"/>
      <w:numFmt w:val="decimal"/>
      <w:lvlText w:val="%1."/>
      <w:lvlJc w:val="left"/>
      <w:pPr>
        <w:ind w:left="720" w:hanging="360"/>
      </w:pPr>
      <w:rPr>
        <w:rFonts w:cs="Arial Unicode MS" w:hint="eastAsia"/>
        <w:b w:val="0"/>
        <w:bCs w:val="0"/>
        <w:i w:val="0"/>
        <w:iCs w:val="0"/>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5C61C0C"/>
    <w:multiLevelType w:val="hybridMultilevel"/>
    <w:tmpl w:val="80801CA8"/>
    <w:lvl w:ilvl="0" w:tplc="4009000B">
      <w:start w:val="1"/>
      <w:numFmt w:val="bullet"/>
      <w:lvlText w:val=""/>
      <w:lvlJc w:val="left"/>
      <w:pPr>
        <w:ind w:left="1508" w:hanging="360"/>
      </w:pPr>
      <w:rPr>
        <w:rFonts w:ascii="Wingdings" w:hAnsi="Wingdings" w:hint="default"/>
      </w:rPr>
    </w:lvl>
    <w:lvl w:ilvl="1" w:tplc="40090003" w:tentative="1">
      <w:start w:val="1"/>
      <w:numFmt w:val="bullet"/>
      <w:lvlText w:val="o"/>
      <w:lvlJc w:val="left"/>
      <w:pPr>
        <w:ind w:left="2228" w:hanging="360"/>
      </w:pPr>
      <w:rPr>
        <w:rFonts w:ascii="Courier New" w:hAnsi="Courier New" w:cs="Courier New" w:hint="default"/>
      </w:rPr>
    </w:lvl>
    <w:lvl w:ilvl="2" w:tplc="40090005" w:tentative="1">
      <w:start w:val="1"/>
      <w:numFmt w:val="bullet"/>
      <w:lvlText w:val=""/>
      <w:lvlJc w:val="left"/>
      <w:pPr>
        <w:ind w:left="2948" w:hanging="360"/>
      </w:pPr>
      <w:rPr>
        <w:rFonts w:ascii="Wingdings" w:hAnsi="Wingdings" w:hint="default"/>
      </w:rPr>
    </w:lvl>
    <w:lvl w:ilvl="3" w:tplc="40090001" w:tentative="1">
      <w:start w:val="1"/>
      <w:numFmt w:val="bullet"/>
      <w:lvlText w:val=""/>
      <w:lvlJc w:val="left"/>
      <w:pPr>
        <w:ind w:left="3668" w:hanging="360"/>
      </w:pPr>
      <w:rPr>
        <w:rFonts w:ascii="Symbol" w:hAnsi="Symbol" w:hint="default"/>
      </w:rPr>
    </w:lvl>
    <w:lvl w:ilvl="4" w:tplc="40090003" w:tentative="1">
      <w:start w:val="1"/>
      <w:numFmt w:val="bullet"/>
      <w:lvlText w:val="o"/>
      <w:lvlJc w:val="left"/>
      <w:pPr>
        <w:ind w:left="4388" w:hanging="360"/>
      </w:pPr>
      <w:rPr>
        <w:rFonts w:ascii="Courier New" w:hAnsi="Courier New" w:cs="Courier New" w:hint="default"/>
      </w:rPr>
    </w:lvl>
    <w:lvl w:ilvl="5" w:tplc="40090005" w:tentative="1">
      <w:start w:val="1"/>
      <w:numFmt w:val="bullet"/>
      <w:lvlText w:val=""/>
      <w:lvlJc w:val="left"/>
      <w:pPr>
        <w:ind w:left="5108" w:hanging="360"/>
      </w:pPr>
      <w:rPr>
        <w:rFonts w:ascii="Wingdings" w:hAnsi="Wingdings" w:hint="default"/>
      </w:rPr>
    </w:lvl>
    <w:lvl w:ilvl="6" w:tplc="40090001" w:tentative="1">
      <w:start w:val="1"/>
      <w:numFmt w:val="bullet"/>
      <w:lvlText w:val=""/>
      <w:lvlJc w:val="left"/>
      <w:pPr>
        <w:ind w:left="5828" w:hanging="360"/>
      </w:pPr>
      <w:rPr>
        <w:rFonts w:ascii="Symbol" w:hAnsi="Symbol" w:hint="default"/>
      </w:rPr>
    </w:lvl>
    <w:lvl w:ilvl="7" w:tplc="40090003" w:tentative="1">
      <w:start w:val="1"/>
      <w:numFmt w:val="bullet"/>
      <w:lvlText w:val="o"/>
      <w:lvlJc w:val="left"/>
      <w:pPr>
        <w:ind w:left="6548" w:hanging="360"/>
      </w:pPr>
      <w:rPr>
        <w:rFonts w:ascii="Courier New" w:hAnsi="Courier New" w:cs="Courier New" w:hint="default"/>
      </w:rPr>
    </w:lvl>
    <w:lvl w:ilvl="8" w:tplc="40090005" w:tentative="1">
      <w:start w:val="1"/>
      <w:numFmt w:val="bullet"/>
      <w:lvlText w:val=""/>
      <w:lvlJc w:val="left"/>
      <w:pPr>
        <w:ind w:left="7268" w:hanging="360"/>
      </w:pPr>
      <w:rPr>
        <w:rFonts w:ascii="Wingdings" w:hAnsi="Wingdings" w:hint="default"/>
      </w:rPr>
    </w:lvl>
  </w:abstractNum>
  <w:abstractNum w:abstractNumId="32">
    <w:nsid w:val="675161DC"/>
    <w:multiLevelType w:val="hybridMultilevel"/>
    <w:tmpl w:val="175EEE3E"/>
    <w:lvl w:ilvl="0" w:tplc="10341E48">
      <w:start w:val="1"/>
      <w:numFmt w:val="decimal"/>
      <w:lvlText w:val="%1."/>
      <w:lvlJc w:val="left"/>
      <w:pPr>
        <w:ind w:left="720" w:hanging="360"/>
      </w:pPr>
      <w:rPr>
        <w:rFonts w:cs="Arial Unicode MS" w:hint="eastAsia"/>
        <w:bCs w:val="0"/>
        <w:iCs w:val="0"/>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4B0FC5"/>
    <w:multiLevelType w:val="hybridMultilevel"/>
    <w:tmpl w:val="68E48F7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BE573B2"/>
    <w:multiLevelType w:val="hybridMultilevel"/>
    <w:tmpl w:val="AC3632B2"/>
    <w:lvl w:ilvl="0" w:tplc="40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C7759ED"/>
    <w:multiLevelType w:val="hybridMultilevel"/>
    <w:tmpl w:val="35CE850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6FEB48FD"/>
    <w:multiLevelType w:val="hybridMultilevel"/>
    <w:tmpl w:val="C2085C80"/>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214452F"/>
    <w:multiLevelType w:val="multilevel"/>
    <w:tmpl w:val="AF664D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27E0C2F"/>
    <w:multiLevelType w:val="hybridMultilevel"/>
    <w:tmpl w:val="469A0106"/>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43A235B"/>
    <w:multiLevelType w:val="hybridMultilevel"/>
    <w:tmpl w:val="87509C76"/>
    <w:lvl w:ilvl="0" w:tplc="206EA760">
      <w:start w:val="1"/>
      <w:numFmt w:val="decimal"/>
      <w:lvlText w:val="%1."/>
      <w:lvlJc w:val="left"/>
      <w:pPr>
        <w:ind w:left="720" w:hanging="360"/>
      </w:pPr>
      <w:rPr>
        <w:rFonts w:cs="Arial Unicode MS" w:hint="eastAsia"/>
        <w:b w:val="0"/>
        <w:bCs w:val="0"/>
        <w:i w:val="0"/>
        <w:iCs w:val="0"/>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557651C"/>
    <w:multiLevelType w:val="hybridMultilevel"/>
    <w:tmpl w:val="6B3EB3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D9471E"/>
    <w:multiLevelType w:val="hybridMultilevel"/>
    <w:tmpl w:val="0E32CF76"/>
    <w:lvl w:ilvl="0" w:tplc="10341E48">
      <w:start w:val="1"/>
      <w:numFmt w:val="decimal"/>
      <w:lvlText w:val="%1."/>
      <w:lvlJc w:val="left"/>
      <w:pPr>
        <w:ind w:left="786" w:hanging="360"/>
      </w:pPr>
      <w:rPr>
        <w:rFonts w:cs="Arial Unicode MS" w:hint="eastAsia"/>
        <w:bCs w:val="0"/>
        <w:iCs w:val="0"/>
        <w:szCs w:val="22"/>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42">
    <w:nsid w:val="76BD04FB"/>
    <w:multiLevelType w:val="hybridMultilevel"/>
    <w:tmpl w:val="0B8E97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776001EB"/>
    <w:multiLevelType w:val="hybridMultilevel"/>
    <w:tmpl w:val="9BB4F5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9F56C5"/>
    <w:multiLevelType w:val="hybridMultilevel"/>
    <w:tmpl w:val="9802F26E"/>
    <w:lvl w:ilvl="0" w:tplc="62304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C55D5A"/>
    <w:multiLevelType w:val="hybridMultilevel"/>
    <w:tmpl w:val="61DA881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3"/>
  </w:num>
  <w:num w:numId="2">
    <w:abstractNumId w:val="7"/>
  </w:num>
  <w:num w:numId="3">
    <w:abstractNumId w:val="15"/>
  </w:num>
  <w:num w:numId="4">
    <w:abstractNumId w:val="19"/>
  </w:num>
  <w:num w:numId="5">
    <w:abstractNumId w:val="37"/>
  </w:num>
  <w:num w:numId="6">
    <w:abstractNumId w:val="3"/>
  </w:num>
  <w:num w:numId="7">
    <w:abstractNumId w:val="18"/>
  </w:num>
  <w:num w:numId="8">
    <w:abstractNumId w:val="13"/>
  </w:num>
  <w:num w:numId="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44"/>
  </w:num>
  <w:num w:numId="13">
    <w:abstractNumId w:val="5"/>
  </w:num>
  <w:num w:numId="14">
    <w:abstractNumId w:val="9"/>
  </w:num>
  <w:num w:numId="15">
    <w:abstractNumId w:val="29"/>
  </w:num>
  <w:num w:numId="16">
    <w:abstractNumId w:val="42"/>
  </w:num>
  <w:num w:numId="17">
    <w:abstractNumId w:val="31"/>
  </w:num>
  <w:num w:numId="18">
    <w:abstractNumId w:val="4"/>
  </w:num>
  <w:num w:numId="19">
    <w:abstractNumId w:val="27"/>
  </w:num>
  <w:num w:numId="20">
    <w:abstractNumId w:val="8"/>
  </w:num>
  <w:num w:numId="21">
    <w:abstractNumId w:val="43"/>
  </w:num>
  <w:num w:numId="22">
    <w:abstractNumId w:val="21"/>
  </w:num>
  <w:num w:numId="23">
    <w:abstractNumId w:val="26"/>
  </w:num>
  <w:num w:numId="24">
    <w:abstractNumId w:val="35"/>
  </w:num>
  <w:num w:numId="25">
    <w:abstractNumId w:val="24"/>
  </w:num>
  <w:num w:numId="26">
    <w:abstractNumId w:val="10"/>
  </w:num>
  <w:num w:numId="27">
    <w:abstractNumId w:val="25"/>
  </w:num>
  <w:num w:numId="28">
    <w:abstractNumId w:val="17"/>
  </w:num>
  <w:num w:numId="29">
    <w:abstractNumId w:val="34"/>
  </w:num>
  <w:num w:numId="30">
    <w:abstractNumId w:val="0"/>
  </w:num>
  <w:num w:numId="31">
    <w:abstractNumId w:val="41"/>
  </w:num>
  <w:num w:numId="32">
    <w:abstractNumId w:val="32"/>
  </w:num>
  <w:num w:numId="33">
    <w:abstractNumId w:val="40"/>
  </w:num>
  <w:num w:numId="34">
    <w:abstractNumId w:val="39"/>
  </w:num>
  <w:num w:numId="35">
    <w:abstractNumId w:val="30"/>
  </w:num>
  <w:num w:numId="36">
    <w:abstractNumId w:val="6"/>
  </w:num>
  <w:num w:numId="37">
    <w:abstractNumId w:val="33"/>
  </w:num>
  <w:num w:numId="38">
    <w:abstractNumId w:val="14"/>
  </w:num>
  <w:num w:numId="39">
    <w:abstractNumId w:val="16"/>
  </w:num>
  <w:num w:numId="40">
    <w:abstractNumId w:val="36"/>
  </w:num>
  <w:num w:numId="41">
    <w:abstractNumId w:val="38"/>
  </w:num>
  <w:num w:numId="42">
    <w:abstractNumId w:val="2"/>
  </w:num>
  <w:num w:numId="43">
    <w:abstractNumId w:val="22"/>
  </w:num>
  <w:num w:numId="44">
    <w:abstractNumId w:val="1"/>
  </w:num>
  <w:num w:numId="45">
    <w:abstractNumId w:val="11"/>
  </w:num>
  <w:num w:numId="46">
    <w:abstractNumId w:val="28"/>
  </w:num>
  <w:num w:numId="4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F44B8"/>
    <w:rsid w:val="0000084B"/>
    <w:rsid w:val="0003418F"/>
    <w:rsid w:val="00044F02"/>
    <w:rsid w:val="000507C5"/>
    <w:rsid w:val="00072B8A"/>
    <w:rsid w:val="00072F88"/>
    <w:rsid w:val="000813BD"/>
    <w:rsid w:val="00090AD4"/>
    <w:rsid w:val="000A3F9E"/>
    <w:rsid w:val="000C6110"/>
    <w:rsid w:val="000D1DAF"/>
    <w:rsid w:val="000D39E6"/>
    <w:rsid w:val="000E0CF8"/>
    <w:rsid w:val="000E2B82"/>
    <w:rsid w:val="00111A6E"/>
    <w:rsid w:val="00114E27"/>
    <w:rsid w:val="001160F9"/>
    <w:rsid w:val="00136493"/>
    <w:rsid w:val="001470AA"/>
    <w:rsid w:val="00152B1F"/>
    <w:rsid w:val="00154604"/>
    <w:rsid w:val="001550EA"/>
    <w:rsid w:val="001632E4"/>
    <w:rsid w:val="00173833"/>
    <w:rsid w:val="00173B6A"/>
    <w:rsid w:val="00195A9F"/>
    <w:rsid w:val="00196A24"/>
    <w:rsid w:val="001A46B4"/>
    <w:rsid w:val="001A78BC"/>
    <w:rsid w:val="001C06E6"/>
    <w:rsid w:val="001D12E0"/>
    <w:rsid w:val="001E091A"/>
    <w:rsid w:val="001F2A52"/>
    <w:rsid w:val="001F72BF"/>
    <w:rsid w:val="00214591"/>
    <w:rsid w:val="0025028E"/>
    <w:rsid w:val="00260D12"/>
    <w:rsid w:val="002913F3"/>
    <w:rsid w:val="00291732"/>
    <w:rsid w:val="002971E4"/>
    <w:rsid w:val="002B7C4B"/>
    <w:rsid w:val="002E7FC8"/>
    <w:rsid w:val="0030698A"/>
    <w:rsid w:val="00311343"/>
    <w:rsid w:val="00311EAC"/>
    <w:rsid w:val="00320739"/>
    <w:rsid w:val="003375EE"/>
    <w:rsid w:val="00361255"/>
    <w:rsid w:val="003751A8"/>
    <w:rsid w:val="00384271"/>
    <w:rsid w:val="00394192"/>
    <w:rsid w:val="003B2840"/>
    <w:rsid w:val="003B2940"/>
    <w:rsid w:val="003C1535"/>
    <w:rsid w:val="003C18E9"/>
    <w:rsid w:val="003D05C7"/>
    <w:rsid w:val="003D36DC"/>
    <w:rsid w:val="003E102E"/>
    <w:rsid w:val="003E6FFF"/>
    <w:rsid w:val="003F0FB3"/>
    <w:rsid w:val="003F1000"/>
    <w:rsid w:val="003F7B6C"/>
    <w:rsid w:val="00403496"/>
    <w:rsid w:val="004106DB"/>
    <w:rsid w:val="0041286E"/>
    <w:rsid w:val="00421D5C"/>
    <w:rsid w:val="00425D9A"/>
    <w:rsid w:val="00433FF0"/>
    <w:rsid w:val="0043605D"/>
    <w:rsid w:val="0043789B"/>
    <w:rsid w:val="00441B15"/>
    <w:rsid w:val="004438D9"/>
    <w:rsid w:val="00443A14"/>
    <w:rsid w:val="00444A2C"/>
    <w:rsid w:val="00447AA2"/>
    <w:rsid w:val="00453392"/>
    <w:rsid w:val="004551F6"/>
    <w:rsid w:val="004A4734"/>
    <w:rsid w:val="004A52D0"/>
    <w:rsid w:val="004B0AE5"/>
    <w:rsid w:val="004B5D7F"/>
    <w:rsid w:val="004B690A"/>
    <w:rsid w:val="004D236F"/>
    <w:rsid w:val="004D6657"/>
    <w:rsid w:val="004E6F31"/>
    <w:rsid w:val="004F3472"/>
    <w:rsid w:val="004F4AF8"/>
    <w:rsid w:val="005001EA"/>
    <w:rsid w:val="005115D8"/>
    <w:rsid w:val="0051272D"/>
    <w:rsid w:val="005171DC"/>
    <w:rsid w:val="005174E2"/>
    <w:rsid w:val="00535991"/>
    <w:rsid w:val="005421E7"/>
    <w:rsid w:val="00542B93"/>
    <w:rsid w:val="00550F77"/>
    <w:rsid w:val="00553AC2"/>
    <w:rsid w:val="0055710D"/>
    <w:rsid w:val="00561FFC"/>
    <w:rsid w:val="00564917"/>
    <w:rsid w:val="00570A7A"/>
    <w:rsid w:val="0057195F"/>
    <w:rsid w:val="0058442C"/>
    <w:rsid w:val="00593DEC"/>
    <w:rsid w:val="005A61B3"/>
    <w:rsid w:val="005B7AB2"/>
    <w:rsid w:val="005C487D"/>
    <w:rsid w:val="005E0373"/>
    <w:rsid w:val="005F06E7"/>
    <w:rsid w:val="005F374B"/>
    <w:rsid w:val="0063452A"/>
    <w:rsid w:val="00652A01"/>
    <w:rsid w:val="00654A96"/>
    <w:rsid w:val="0066769C"/>
    <w:rsid w:val="00675974"/>
    <w:rsid w:val="00684A40"/>
    <w:rsid w:val="006B201C"/>
    <w:rsid w:val="006B3894"/>
    <w:rsid w:val="006C01B1"/>
    <w:rsid w:val="006D5EF5"/>
    <w:rsid w:val="00704FC0"/>
    <w:rsid w:val="0077744C"/>
    <w:rsid w:val="00781F42"/>
    <w:rsid w:val="00786BDE"/>
    <w:rsid w:val="007A667A"/>
    <w:rsid w:val="007B676D"/>
    <w:rsid w:val="007B6D00"/>
    <w:rsid w:val="007D09A5"/>
    <w:rsid w:val="007D5032"/>
    <w:rsid w:val="007D6005"/>
    <w:rsid w:val="007E0BD2"/>
    <w:rsid w:val="007E1709"/>
    <w:rsid w:val="0081486A"/>
    <w:rsid w:val="008316F1"/>
    <w:rsid w:val="00833641"/>
    <w:rsid w:val="00855EF3"/>
    <w:rsid w:val="008619FE"/>
    <w:rsid w:val="00862473"/>
    <w:rsid w:val="00870B0C"/>
    <w:rsid w:val="00875B9A"/>
    <w:rsid w:val="008760EC"/>
    <w:rsid w:val="00876760"/>
    <w:rsid w:val="00882E67"/>
    <w:rsid w:val="00883211"/>
    <w:rsid w:val="00884C55"/>
    <w:rsid w:val="008C2EB3"/>
    <w:rsid w:val="008C4675"/>
    <w:rsid w:val="008D2098"/>
    <w:rsid w:val="008D4371"/>
    <w:rsid w:val="008D6E44"/>
    <w:rsid w:val="008E00CF"/>
    <w:rsid w:val="008E2AC8"/>
    <w:rsid w:val="00903B39"/>
    <w:rsid w:val="009177F9"/>
    <w:rsid w:val="0093027A"/>
    <w:rsid w:val="00930963"/>
    <w:rsid w:val="009368B1"/>
    <w:rsid w:val="00941223"/>
    <w:rsid w:val="009560CA"/>
    <w:rsid w:val="00962633"/>
    <w:rsid w:val="00966457"/>
    <w:rsid w:val="009921D9"/>
    <w:rsid w:val="00994A87"/>
    <w:rsid w:val="00995B69"/>
    <w:rsid w:val="00995BF6"/>
    <w:rsid w:val="0099720F"/>
    <w:rsid w:val="009B100A"/>
    <w:rsid w:val="009B6818"/>
    <w:rsid w:val="009C70FC"/>
    <w:rsid w:val="009D6BBB"/>
    <w:rsid w:val="009E17C6"/>
    <w:rsid w:val="009F4C53"/>
    <w:rsid w:val="00A0373E"/>
    <w:rsid w:val="00A0455E"/>
    <w:rsid w:val="00A13ADC"/>
    <w:rsid w:val="00A218B8"/>
    <w:rsid w:val="00A2477D"/>
    <w:rsid w:val="00A34F96"/>
    <w:rsid w:val="00A5082E"/>
    <w:rsid w:val="00A51C92"/>
    <w:rsid w:val="00A5381D"/>
    <w:rsid w:val="00A5754C"/>
    <w:rsid w:val="00A65E31"/>
    <w:rsid w:val="00A73650"/>
    <w:rsid w:val="00A84D0B"/>
    <w:rsid w:val="00A926C6"/>
    <w:rsid w:val="00AA129F"/>
    <w:rsid w:val="00AC37B5"/>
    <w:rsid w:val="00AD6868"/>
    <w:rsid w:val="00AE2BDD"/>
    <w:rsid w:val="00AF0E32"/>
    <w:rsid w:val="00B11383"/>
    <w:rsid w:val="00B11C67"/>
    <w:rsid w:val="00B13808"/>
    <w:rsid w:val="00B14681"/>
    <w:rsid w:val="00B205B3"/>
    <w:rsid w:val="00B373E7"/>
    <w:rsid w:val="00B52B72"/>
    <w:rsid w:val="00B72123"/>
    <w:rsid w:val="00B749BC"/>
    <w:rsid w:val="00B8188A"/>
    <w:rsid w:val="00B83589"/>
    <w:rsid w:val="00B843B7"/>
    <w:rsid w:val="00BA42CA"/>
    <w:rsid w:val="00BB7B6D"/>
    <w:rsid w:val="00BC497A"/>
    <w:rsid w:val="00BF281A"/>
    <w:rsid w:val="00BF48D9"/>
    <w:rsid w:val="00C02841"/>
    <w:rsid w:val="00C0394B"/>
    <w:rsid w:val="00C03C12"/>
    <w:rsid w:val="00C277F6"/>
    <w:rsid w:val="00C306CE"/>
    <w:rsid w:val="00C34572"/>
    <w:rsid w:val="00C53C8F"/>
    <w:rsid w:val="00C54690"/>
    <w:rsid w:val="00C66546"/>
    <w:rsid w:val="00C73212"/>
    <w:rsid w:val="00C73AED"/>
    <w:rsid w:val="00C83CF9"/>
    <w:rsid w:val="00CB2E0E"/>
    <w:rsid w:val="00CB6513"/>
    <w:rsid w:val="00CB7A26"/>
    <w:rsid w:val="00CD7222"/>
    <w:rsid w:val="00CE4C4E"/>
    <w:rsid w:val="00CE5925"/>
    <w:rsid w:val="00D0501A"/>
    <w:rsid w:val="00D06C0E"/>
    <w:rsid w:val="00D14A58"/>
    <w:rsid w:val="00D21DE0"/>
    <w:rsid w:val="00D33489"/>
    <w:rsid w:val="00D409C2"/>
    <w:rsid w:val="00D61A58"/>
    <w:rsid w:val="00D63BE8"/>
    <w:rsid w:val="00D82453"/>
    <w:rsid w:val="00D82994"/>
    <w:rsid w:val="00D83F75"/>
    <w:rsid w:val="00DB2653"/>
    <w:rsid w:val="00DD4B3C"/>
    <w:rsid w:val="00DD560F"/>
    <w:rsid w:val="00DE07D6"/>
    <w:rsid w:val="00DE229E"/>
    <w:rsid w:val="00DF44B8"/>
    <w:rsid w:val="00E03FF6"/>
    <w:rsid w:val="00E05BFC"/>
    <w:rsid w:val="00E128FF"/>
    <w:rsid w:val="00E138EA"/>
    <w:rsid w:val="00E334F0"/>
    <w:rsid w:val="00E40226"/>
    <w:rsid w:val="00E42425"/>
    <w:rsid w:val="00E454CF"/>
    <w:rsid w:val="00E60CFE"/>
    <w:rsid w:val="00E77CDD"/>
    <w:rsid w:val="00E77EE2"/>
    <w:rsid w:val="00EA15D0"/>
    <w:rsid w:val="00EA565D"/>
    <w:rsid w:val="00EA7E85"/>
    <w:rsid w:val="00EB0F6C"/>
    <w:rsid w:val="00ED180D"/>
    <w:rsid w:val="00EE3C3C"/>
    <w:rsid w:val="00EE5927"/>
    <w:rsid w:val="00F109A8"/>
    <w:rsid w:val="00F23863"/>
    <w:rsid w:val="00F27FB3"/>
    <w:rsid w:val="00F53578"/>
    <w:rsid w:val="00F55A8E"/>
    <w:rsid w:val="00F80C44"/>
    <w:rsid w:val="00F85E77"/>
    <w:rsid w:val="00F96229"/>
    <w:rsid w:val="00FB6B81"/>
    <w:rsid w:val="00FC4BA5"/>
    <w:rsid w:val="00FF0FA7"/>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6B4"/>
    <w:pPr>
      <w:spacing w:after="200" w:line="276" w:lineRule="auto"/>
    </w:pPr>
    <w:rPr>
      <w:sz w:val="22"/>
      <w:lang w:bidi="hi-IN"/>
    </w:rPr>
  </w:style>
  <w:style w:type="paragraph" w:styleId="Heading1">
    <w:name w:val="heading 1"/>
    <w:basedOn w:val="Normal"/>
    <w:link w:val="Heading1Char"/>
    <w:qFormat/>
    <w:rsid w:val="00C73AED"/>
    <w:pPr>
      <w:spacing w:before="100" w:beforeAutospacing="1" w:after="100" w:afterAutospacing="1" w:line="240" w:lineRule="auto"/>
      <w:outlineLvl w:val="0"/>
    </w:pPr>
    <w:rPr>
      <w:rFonts w:ascii="Times New Roman" w:hAnsi="Times New Roman"/>
      <w:b/>
      <w:bCs/>
      <w:kern w:val="36"/>
      <w:sz w:val="48"/>
      <w:szCs w:val="48"/>
      <w:lang w:val="en-US" w:eastAsia="en-US" w:bidi="ar-SA"/>
    </w:rPr>
  </w:style>
  <w:style w:type="paragraph" w:styleId="Heading2">
    <w:name w:val="heading 2"/>
    <w:basedOn w:val="Normal"/>
    <w:next w:val="Normal"/>
    <w:link w:val="Heading2Char"/>
    <w:uiPriority w:val="9"/>
    <w:semiHidden/>
    <w:unhideWhenUsed/>
    <w:qFormat/>
    <w:rsid w:val="00C73AED"/>
    <w:pPr>
      <w:keepNext/>
      <w:keepLines/>
      <w:spacing w:before="200" w:after="0"/>
      <w:outlineLvl w:val="1"/>
    </w:pPr>
    <w:rPr>
      <w:rFonts w:ascii="Cambria" w:hAnsi="Cambria"/>
      <w:b/>
      <w:bCs/>
      <w:color w:val="4F81BD"/>
      <w:sz w:val="26"/>
      <w:szCs w:val="26"/>
      <w:lang w:val="en-US" w:eastAsia="en-US" w:bidi="ar-SA"/>
    </w:rPr>
  </w:style>
  <w:style w:type="paragraph" w:styleId="Heading3">
    <w:name w:val="heading 3"/>
    <w:basedOn w:val="Normal"/>
    <w:next w:val="Normal"/>
    <w:link w:val="Heading3Char"/>
    <w:uiPriority w:val="9"/>
    <w:unhideWhenUsed/>
    <w:qFormat/>
    <w:rsid w:val="00C73AED"/>
    <w:pPr>
      <w:keepNext/>
      <w:keepLines/>
      <w:spacing w:before="200" w:after="0"/>
      <w:outlineLvl w:val="2"/>
    </w:pPr>
    <w:rPr>
      <w:rFonts w:ascii="Cambria" w:hAnsi="Cambria"/>
      <w:b/>
      <w:bCs/>
      <w:color w:val="4F81BD"/>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3AED"/>
    <w:rPr>
      <w:rFonts w:ascii="Times New Roman" w:eastAsia="Times New Roman" w:hAnsi="Times New Roman" w:cs="Times New Roman"/>
      <w:b/>
      <w:bCs/>
      <w:kern w:val="36"/>
      <w:sz w:val="48"/>
      <w:szCs w:val="48"/>
      <w:lang w:val="en-US" w:eastAsia="en-US" w:bidi="ar-SA"/>
    </w:rPr>
  </w:style>
  <w:style w:type="character" w:customStyle="1" w:styleId="Heading2Char">
    <w:name w:val="Heading 2 Char"/>
    <w:basedOn w:val="DefaultParagraphFont"/>
    <w:link w:val="Heading2"/>
    <w:uiPriority w:val="9"/>
    <w:semiHidden/>
    <w:rsid w:val="00C73AED"/>
    <w:rPr>
      <w:rFonts w:ascii="Cambria" w:eastAsia="Times New Roman" w:hAnsi="Cambria" w:cs="Times New Roman"/>
      <w:b/>
      <w:bCs/>
      <w:color w:val="4F81BD"/>
      <w:sz w:val="26"/>
      <w:szCs w:val="26"/>
      <w:lang w:val="en-US" w:eastAsia="en-US" w:bidi="ar-SA"/>
    </w:rPr>
  </w:style>
  <w:style w:type="character" w:customStyle="1" w:styleId="Heading3Char">
    <w:name w:val="Heading 3 Char"/>
    <w:basedOn w:val="DefaultParagraphFont"/>
    <w:link w:val="Heading3"/>
    <w:uiPriority w:val="9"/>
    <w:rsid w:val="00C73AED"/>
    <w:rPr>
      <w:rFonts w:ascii="Cambria" w:eastAsia="Times New Roman" w:hAnsi="Cambria" w:cs="Times New Roman"/>
      <w:b/>
      <w:bCs/>
      <w:color w:val="4F81BD"/>
      <w:szCs w:val="22"/>
      <w:lang w:val="en-US" w:eastAsia="en-US" w:bidi="ar-SA"/>
    </w:rPr>
  </w:style>
  <w:style w:type="paragraph" w:styleId="ListParagraph">
    <w:name w:val="List Paragraph"/>
    <w:basedOn w:val="Normal"/>
    <w:uiPriority w:val="34"/>
    <w:qFormat/>
    <w:rsid w:val="00D82994"/>
    <w:pPr>
      <w:ind w:left="720"/>
      <w:contextualSpacing/>
    </w:pPr>
  </w:style>
  <w:style w:type="paragraph" w:styleId="BalloonText">
    <w:name w:val="Balloon Text"/>
    <w:basedOn w:val="Normal"/>
    <w:link w:val="BalloonTextChar"/>
    <w:uiPriority w:val="99"/>
    <w:semiHidden/>
    <w:unhideWhenUsed/>
    <w:rsid w:val="004551F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551F6"/>
    <w:rPr>
      <w:rFonts w:ascii="Tahoma" w:hAnsi="Tahoma" w:cs="Mangal"/>
      <w:sz w:val="16"/>
      <w:szCs w:val="14"/>
    </w:rPr>
  </w:style>
  <w:style w:type="character" w:styleId="Strong">
    <w:name w:val="Strong"/>
    <w:basedOn w:val="DefaultParagraphFont"/>
    <w:uiPriority w:val="22"/>
    <w:qFormat/>
    <w:rsid w:val="00C73AED"/>
    <w:rPr>
      <w:b/>
      <w:bCs/>
    </w:rPr>
  </w:style>
  <w:style w:type="character" w:styleId="Hyperlink">
    <w:name w:val="Hyperlink"/>
    <w:basedOn w:val="DefaultParagraphFont"/>
    <w:unhideWhenUsed/>
    <w:rsid w:val="00C73AED"/>
    <w:rPr>
      <w:color w:val="0000FF"/>
      <w:u w:val="single"/>
    </w:rPr>
  </w:style>
  <w:style w:type="character" w:customStyle="1" w:styleId="HTMLAddressChar">
    <w:name w:val="HTML Address Char"/>
    <w:basedOn w:val="DefaultParagraphFont"/>
    <w:link w:val="HTMLAddress"/>
    <w:uiPriority w:val="99"/>
    <w:semiHidden/>
    <w:rsid w:val="00C73AED"/>
    <w:rPr>
      <w:rFonts w:ascii="Times New Roman" w:eastAsia="Times New Roman" w:hAnsi="Times New Roman" w:cs="Times New Roman"/>
      <w:i/>
      <w:iCs/>
      <w:sz w:val="24"/>
      <w:szCs w:val="24"/>
      <w:lang w:val="en-US" w:eastAsia="en-US" w:bidi="ar-SA"/>
    </w:rPr>
  </w:style>
  <w:style w:type="paragraph" w:styleId="HTMLAddress">
    <w:name w:val="HTML Address"/>
    <w:basedOn w:val="Normal"/>
    <w:link w:val="HTMLAddressChar"/>
    <w:uiPriority w:val="99"/>
    <w:semiHidden/>
    <w:unhideWhenUsed/>
    <w:rsid w:val="00C73AED"/>
    <w:pPr>
      <w:spacing w:after="0" w:line="240" w:lineRule="auto"/>
    </w:pPr>
    <w:rPr>
      <w:rFonts w:ascii="Times New Roman" w:hAnsi="Times New Roman"/>
      <w:i/>
      <w:iCs/>
      <w:sz w:val="24"/>
      <w:szCs w:val="24"/>
      <w:lang w:val="en-US" w:eastAsia="en-US" w:bidi="ar-SA"/>
    </w:rPr>
  </w:style>
  <w:style w:type="character" w:customStyle="1" w:styleId="apple-converted-space">
    <w:name w:val="apple-converted-space"/>
    <w:basedOn w:val="DefaultParagraphFont"/>
    <w:rsid w:val="00C73AED"/>
  </w:style>
  <w:style w:type="character" w:customStyle="1" w:styleId="HeaderChar">
    <w:name w:val="Header Char"/>
    <w:basedOn w:val="DefaultParagraphFont"/>
    <w:link w:val="Header"/>
    <w:uiPriority w:val="99"/>
    <w:semiHidden/>
    <w:rsid w:val="00C73AED"/>
    <w:rPr>
      <w:szCs w:val="22"/>
      <w:lang w:val="en-US" w:eastAsia="en-US" w:bidi="ar-SA"/>
    </w:rPr>
  </w:style>
  <w:style w:type="paragraph" w:styleId="Header">
    <w:name w:val="header"/>
    <w:basedOn w:val="Normal"/>
    <w:link w:val="HeaderChar"/>
    <w:uiPriority w:val="99"/>
    <w:semiHidden/>
    <w:unhideWhenUsed/>
    <w:rsid w:val="00C73AED"/>
    <w:pPr>
      <w:tabs>
        <w:tab w:val="center" w:pos="4680"/>
        <w:tab w:val="right" w:pos="9360"/>
      </w:tabs>
      <w:spacing w:after="0" w:line="240" w:lineRule="auto"/>
    </w:pPr>
    <w:rPr>
      <w:szCs w:val="22"/>
      <w:lang w:val="en-US" w:eastAsia="en-US" w:bidi="ar-SA"/>
    </w:rPr>
  </w:style>
  <w:style w:type="paragraph" w:styleId="Footer">
    <w:name w:val="footer"/>
    <w:basedOn w:val="Normal"/>
    <w:link w:val="FooterChar"/>
    <w:uiPriority w:val="99"/>
    <w:unhideWhenUsed/>
    <w:rsid w:val="00C73AED"/>
    <w:pPr>
      <w:tabs>
        <w:tab w:val="center" w:pos="4680"/>
        <w:tab w:val="right" w:pos="9360"/>
      </w:tabs>
      <w:spacing w:after="0" w:line="240" w:lineRule="auto"/>
    </w:pPr>
    <w:rPr>
      <w:szCs w:val="22"/>
      <w:lang w:val="en-US" w:eastAsia="en-US" w:bidi="ar-SA"/>
    </w:rPr>
  </w:style>
  <w:style w:type="character" w:customStyle="1" w:styleId="FooterChar">
    <w:name w:val="Footer Char"/>
    <w:basedOn w:val="DefaultParagraphFont"/>
    <w:link w:val="Footer"/>
    <w:uiPriority w:val="99"/>
    <w:rsid w:val="00C73AED"/>
    <w:rPr>
      <w:szCs w:val="22"/>
      <w:lang w:val="en-US" w:eastAsia="en-US" w:bidi="ar-SA"/>
    </w:rPr>
  </w:style>
  <w:style w:type="character" w:customStyle="1" w:styleId="apple-style-span">
    <w:name w:val="apple-style-span"/>
    <w:basedOn w:val="DefaultParagraphFont"/>
    <w:rsid w:val="00C73AED"/>
  </w:style>
  <w:style w:type="character" w:styleId="Emphasis">
    <w:name w:val="Emphasis"/>
    <w:basedOn w:val="DefaultParagraphFont"/>
    <w:uiPriority w:val="20"/>
    <w:qFormat/>
    <w:rsid w:val="00C73AED"/>
    <w:rPr>
      <w:i/>
      <w:iCs/>
    </w:rPr>
  </w:style>
  <w:style w:type="paragraph" w:styleId="BodyText">
    <w:name w:val="Body Text"/>
    <w:basedOn w:val="Normal"/>
    <w:link w:val="BodyTextChar"/>
    <w:rsid w:val="00C73AED"/>
    <w:pPr>
      <w:spacing w:after="0" w:line="360" w:lineRule="auto"/>
      <w:jc w:val="both"/>
    </w:pPr>
    <w:rPr>
      <w:rFonts w:ascii="Times New Roman" w:hAnsi="Times New Roman"/>
      <w:sz w:val="32"/>
      <w:szCs w:val="24"/>
      <w:lang w:val="en-US" w:eastAsia="en-US" w:bidi="ar-SA"/>
    </w:rPr>
  </w:style>
  <w:style w:type="character" w:customStyle="1" w:styleId="BodyTextChar">
    <w:name w:val="Body Text Char"/>
    <w:basedOn w:val="DefaultParagraphFont"/>
    <w:link w:val="BodyText"/>
    <w:rsid w:val="00C73AED"/>
    <w:rPr>
      <w:rFonts w:ascii="Times New Roman" w:eastAsia="Times New Roman" w:hAnsi="Times New Roman" w:cs="Times New Roman"/>
      <w:sz w:val="32"/>
      <w:szCs w:val="24"/>
      <w:lang w:val="en-US" w:eastAsia="en-US" w:bidi="ar-SA"/>
    </w:rPr>
  </w:style>
  <w:style w:type="paragraph" w:styleId="ListBullet">
    <w:name w:val="List Bullet"/>
    <w:basedOn w:val="Normal"/>
    <w:autoRedefine/>
    <w:unhideWhenUsed/>
    <w:rsid w:val="00C73AED"/>
    <w:pPr>
      <w:spacing w:after="240" w:line="360" w:lineRule="auto"/>
    </w:pPr>
    <w:rPr>
      <w:rFonts w:ascii="Times New Roman" w:hAnsi="Times New Roman"/>
      <w:b/>
      <w:bCs/>
      <w:sz w:val="24"/>
      <w:szCs w:val="24"/>
      <w:u w:val="single"/>
      <w:lang w:val="en-US" w:eastAsia="en-US" w:bidi="ar-SA"/>
    </w:rPr>
  </w:style>
  <w:style w:type="paragraph" w:customStyle="1" w:styleId="Default">
    <w:name w:val="Default"/>
    <w:rsid w:val="00C73AED"/>
    <w:pPr>
      <w:autoSpaceDE w:val="0"/>
      <w:autoSpaceDN w:val="0"/>
      <w:adjustRightInd w:val="0"/>
    </w:pPr>
    <w:rPr>
      <w:rFonts w:ascii="Times New Roman" w:hAnsi="Times New Roman"/>
      <w:color w:val="000000"/>
      <w:sz w:val="24"/>
      <w:szCs w:val="24"/>
      <w:lang w:bidi="hi-IN"/>
    </w:rPr>
  </w:style>
  <w:style w:type="paragraph" w:styleId="CommentText">
    <w:name w:val="annotation text"/>
    <w:basedOn w:val="Normal"/>
    <w:link w:val="CommentTextChar"/>
    <w:uiPriority w:val="99"/>
    <w:semiHidden/>
    <w:unhideWhenUsed/>
    <w:rsid w:val="00C73AED"/>
    <w:pPr>
      <w:spacing w:line="240" w:lineRule="auto"/>
    </w:pPr>
    <w:rPr>
      <w:sz w:val="20"/>
      <w:szCs w:val="18"/>
    </w:rPr>
  </w:style>
  <w:style w:type="character" w:customStyle="1" w:styleId="CommentTextChar">
    <w:name w:val="Comment Text Char"/>
    <w:basedOn w:val="DefaultParagraphFont"/>
    <w:link w:val="CommentText"/>
    <w:uiPriority w:val="99"/>
    <w:semiHidden/>
    <w:rsid w:val="00C73AED"/>
    <w:rPr>
      <w:sz w:val="20"/>
      <w:szCs w:val="18"/>
    </w:rPr>
  </w:style>
  <w:style w:type="character" w:customStyle="1" w:styleId="CommentSubjectChar">
    <w:name w:val="Comment Subject Char"/>
    <w:basedOn w:val="CommentTextChar"/>
    <w:link w:val="CommentSubject"/>
    <w:uiPriority w:val="99"/>
    <w:semiHidden/>
    <w:rsid w:val="00C73AED"/>
    <w:rPr>
      <w:b/>
      <w:bCs/>
    </w:rPr>
  </w:style>
  <w:style w:type="paragraph" w:styleId="CommentSubject">
    <w:name w:val="annotation subject"/>
    <w:basedOn w:val="CommentText"/>
    <w:next w:val="CommentText"/>
    <w:link w:val="CommentSubjectChar"/>
    <w:uiPriority w:val="99"/>
    <w:semiHidden/>
    <w:unhideWhenUsed/>
    <w:rsid w:val="00C73AED"/>
    <w:rPr>
      <w:b/>
      <w:bCs/>
    </w:rPr>
  </w:style>
  <w:style w:type="character" w:customStyle="1" w:styleId="CommentSubjectChar1">
    <w:name w:val="Comment Subject Char1"/>
    <w:basedOn w:val="CommentTextChar"/>
    <w:link w:val="CommentSubject"/>
    <w:uiPriority w:val="99"/>
    <w:semiHidden/>
    <w:rsid w:val="00C73AED"/>
    <w:rPr>
      <w:b/>
      <w:bCs/>
    </w:rPr>
  </w:style>
  <w:style w:type="character" w:customStyle="1" w:styleId="jrnl">
    <w:name w:val="jrnl"/>
    <w:basedOn w:val="DefaultParagraphFont"/>
    <w:rsid w:val="00C73AED"/>
  </w:style>
  <w:style w:type="character" w:customStyle="1" w:styleId="reference-text">
    <w:name w:val="reference-text"/>
    <w:basedOn w:val="DefaultParagraphFont"/>
    <w:rsid w:val="00C73AED"/>
  </w:style>
  <w:style w:type="character" w:customStyle="1" w:styleId="tgc">
    <w:name w:val="_tgc"/>
    <w:basedOn w:val="DefaultParagraphFont"/>
    <w:rsid w:val="00781F42"/>
  </w:style>
  <w:style w:type="paragraph" w:styleId="NormalWeb">
    <w:name w:val="Normal (Web)"/>
    <w:basedOn w:val="Normal"/>
    <w:uiPriority w:val="99"/>
    <w:unhideWhenUsed/>
    <w:rsid w:val="005E0373"/>
    <w:pPr>
      <w:spacing w:before="100" w:beforeAutospacing="1" w:after="100" w:afterAutospacing="1" w:line="240" w:lineRule="auto"/>
    </w:pPr>
    <w:rPr>
      <w:rFonts w:ascii="Times New Roman" w:hAnsi="Times New Roman"/>
      <w:sz w:val="24"/>
      <w:szCs w:val="24"/>
      <w:lang w:bidi="ar-SA"/>
    </w:rPr>
  </w:style>
  <w:style w:type="paragraph" w:customStyle="1" w:styleId="svarticle">
    <w:name w:val="svarticle"/>
    <w:basedOn w:val="Normal"/>
    <w:rsid w:val="005E0373"/>
    <w:pPr>
      <w:spacing w:before="100" w:beforeAutospacing="1" w:after="100" w:afterAutospacing="1" w:line="240" w:lineRule="auto"/>
    </w:pPr>
    <w:rPr>
      <w:rFonts w:ascii="Times New Roman" w:hAnsi="Times New Roman"/>
      <w:sz w:val="24"/>
      <w:szCs w:val="24"/>
      <w:lang w:bidi="ar-SA"/>
    </w:rPr>
  </w:style>
  <w:style w:type="table" w:styleId="TableGrid">
    <w:name w:val="Table Grid"/>
    <w:basedOn w:val="TableNormal"/>
    <w:uiPriority w:val="59"/>
    <w:rsid w:val="005E0373"/>
    <w:rPr>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5E0373"/>
    <w:rPr>
      <w:rFonts w:ascii="Times New Roman" w:hAnsi="Times New Roman"/>
      <w:sz w:val="24"/>
      <w:szCs w:val="24"/>
      <w:lang w:val="en-US" w:eastAsia="en-US"/>
    </w:rPr>
  </w:style>
  <w:style w:type="paragraph" w:styleId="PlainText">
    <w:name w:val="Plain Text"/>
    <w:basedOn w:val="Normal"/>
    <w:link w:val="PlainTextChar"/>
    <w:semiHidden/>
    <w:rsid w:val="00B14681"/>
    <w:pPr>
      <w:spacing w:before="100" w:beforeAutospacing="1" w:after="100" w:afterAutospacing="1" w:line="360" w:lineRule="auto"/>
      <w:ind w:left="907" w:hanging="360"/>
      <w:jc w:val="both"/>
    </w:pPr>
    <w:rPr>
      <w:rFonts w:ascii="Courier New" w:hAnsi="Courier New" w:cs="Courier New"/>
      <w:sz w:val="20"/>
      <w:lang w:val="en-US" w:eastAsia="en-US" w:bidi="ar-SA"/>
    </w:rPr>
  </w:style>
  <w:style w:type="character" w:customStyle="1" w:styleId="PlainTextChar">
    <w:name w:val="Plain Text Char"/>
    <w:basedOn w:val="DefaultParagraphFont"/>
    <w:link w:val="PlainText"/>
    <w:semiHidden/>
    <w:rsid w:val="00B14681"/>
    <w:rPr>
      <w:rFonts w:ascii="Courier New" w:eastAsia="Times New Roman" w:hAnsi="Courier New" w:cs="Courier New"/>
      <w:sz w:val="20"/>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fbonehealth.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E9FDD-FF03-48C0-A2E8-4710DF4AC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4010</Words>
  <Characters>22861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26818</CharactersWithSpaces>
  <SharedDoc>false</SharedDoc>
  <HLinks>
    <vt:vector size="54" baseType="variant">
      <vt:variant>
        <vt:i4>4653074</vt:i4>
      </vt:variant>
      <vt:variant>
        <vt:i4>24</vt:i4>
      </vt:variant>
      <vt:variant>
        <vt:i4>0</vt:i4>
      </vt:variant>
      <vt:variant>
        <vt:i4>5</vt:i4>
      </vt:variant>
      <vt:variant>
        <vt:lpwstr>http://www.iofbonehealth.org/</vt:lpwstr>
      </vt:variant>
      <vt:variant>
        <vt:lpwstr/>
      </vt:variant>
      <vt:variant>
        <vt:i4>6422534</vt:i4>
      </vt:variant>
      <vt:variant>
        <vt:i4>21</vt:i4>
      </vt:variant>
      <vt:variant>
        <vt:i4>0</vt:i4>
      </vt:variant>
      <vt:variant>
        <vt:i4>5</vt:i4>
      </vt:variant>
      <vt:variant>
        <vt:lpwstr>http://www.ncbi.nlm.nih.gov/pubmed?term=Rajeshwari%20G%5BAuthor%5D&amp;cauthor=true&amp;cauthor_uid=23521835</vt:lpwstr>
      </vt:variant>
      <vt:variant>
        <vt:lpwstr/>
      </vt:variant>
      <vt:variant>
        <vt:i4>2293844</vt:i4>
      </vt:variant>
      <vt:variant>
        <vt:i4>18</vt:i4>
      </vt:variant>
      <vt:variant>
        <vt:i4>0</vt:i4>
      </vt:variant>
      <vt:variant>
        <vt:i4>5</vt:i4>
      </vt:variant>
      <vt:variant>
        <vt:lpwstr>http://www.ncbi.nlm.nih.gov/pubmed?term=Singh%20NK%5BAuthor%5D&amp;cauthor=true&amp;cauthor_uid=23521835</vt:lpwstr>
      </vt:variant>
      <vt:variant>
        <vt:lpwstr/>
      </vt:variant>
      <vt:variant>
        <vt:i4>6422553</vt:i4>
      </vt:variant>
      <vt:variant>
        <vt:i4>15</vt:i4>
      </vt:variant>
      <vt:variant>
        <vt:i4>0</vt:i4>
      </vt:variant>
      <vt:variant>
        <vt:i4>5</vt:i4>
      </vt:variant>
      <vt:variant>
        <vt:lpwstr>http://www.ncbi.nlm.nih.gov/pubmed?term=Barman%20A%5BAuthor%5D&amp;cauthor=true&amp;cauthor_uid=23521835</vt:lpwstr>
      </vt:variant>
      <vt:variant>
        <vt:lpwstr/>
      </vt:variant>
      <vt:variant>
        <vt:i4>2883648</vt:i4>
      </vt:variant>
      <vt:variant>
        <vt:i4>12</vt:i4>
      </vt:variant>
      <vt:variant>
        <vt:i4>0</vt:i4>
      </vt:variant>
      <vt:variant>
        <vt:i4>5</vt:i4>
      </vt:variant>
      <vt:variant>
        <vt:lpwstr>http://www.ncbi.nlm.nih.gov/pubmed?term=Sinha%20SK%5BAuthor%5D&amp;cauthor=true&amp;cauthor_uid=23521835</vt:lpwstr>
      </vt:variant>
      <vt:variant>
        <vt:lpwstr/>
      </vt:variant>
      <vt:variant>
        <vt:i4>6422534</vt:i4>
      </vt:variant>
      <vt:variant>
        <vt:i4>9</vt:i4>
      </vt:variant>
      <vt:variant>
        <vt:i4>0</vt:i4>
      </vt:variant>
      <vt:variant>
        <vt:i4>5</vt:i4>
      </vt:variant>
      <vt:variant>
        <vt:lpwstr>http://www.ncbi.nlm.nih.gov/pubmed?term=Rajeshwari%20G%5BAuthor%5D&amp;cauthor=true&amp;cauthor_uid=23521835</vt:lpwstr>
      </vt:variant>
      <vt:variant>
        <vt:lpwstr/>
      </vt:variant>
      <vt:variant>
        <vt:i4>2293844</vt:i4>
      </vt:variant>
      <vt:variant>
        <vt:i4>6</vt:i4>
      </vt:variant>
      <vt:variant>
        <vt:i4>0</vt:i4>
      </vt:variant>
      <vt:variant>
        <vt:i4>5</vt:i4>
      </vt:variant>
      <vt:variant>
        <vt:lpwstr>http://www.ncbi.nlm.nih.gov/pubmed?term=Singh%20NK%5BAuthor%5D&amp;cauthor=true&amp;cauthor_uid=23521835</vt:lpwstr>
      </vt:variant>
      <vt:variant>
        <vt:lpwstr/>
      </vt:variant>
      <vt:variant>
        <vt:i4>6422553</vt:i4>
      </vt:variant>
      <vt:variant>
        <vt:i4>3</vt:i4>
      </vt:variant>
      <vt:variant>
        <vt:i4>0</vt:i4>
      </vt:variant>
      <vt:variant>
        <vt:i4>5</vt:i4>
      </vt:variant>
      <vt:variant>
        <vt:lpwstr>http://www.ncbi.nlm.nih.gov/pubmed?term=Barman%20A%5BAuthor%5D&amp;cauthor=true&amp;cauthor_uid=23521835</vt:lpwstr>
      </vt:variant>
      <vt:variant>
        <vt:lpwstr/>
      </vt:variant>
      <vt:variant>
        <vt:i4>2883648</vt:i4>
      </vt:variant>
      <vt:variant>
        <vt:i4>0</vt:i4>
      </vt:variant>
      <vt:variant>
        <vt:i4>0</vt:i4>
      </vt:variant>
      <vt:variant>
        <vt:i4>5</vt:i4>
      </vt:variant>
      <vt:variant>
        <vt:lpwstr>http://www.ncbi.nlm.nih.gov/pubmed?term=Sinha%20SK%5BAuthor%5D&amp;cauthor=true&amp;cauthor_uid=23521835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Audiology3</dc:creator>
  <cp:lastModifiedBy>Dr. Shijith Kumar C</cp:lastModifiedBy>
  <cp:revision>3</cp:revision>
  <dcterms:created xsi:type="dcterms:W3CDTF">2016-07-21T04:28:00Z</dcterms:created>
  <dcterms:modified xsi:type="dcterms:W3CDTF">2016-07-21T04:29:00Z</dcterms:modified>
</cp:coreProperties>
</file>